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D3697C" w:rsidP="00D3697C">
      <w:pPr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Pr="007162D6" w:rsidRDefault="007162D6" w:rsidP="007162D6">
      <w:pPr>
        <w:jc w:val="center"/>
        <w:rPr>
          <w:rFonts w:ascii="Tahoma" w:hAnsi="Tahoma" w:cs="Tahoma"/>
          <w:b/>
          <w:sz w:val="32"/>
          <w:szCs w:val="30"/>
        </w:rPr>
      </w:pPr>
    </w:p>
    <w:p w:rsidR="004C191D" w:rsidRDefault="007162D6" w:rsidP="007162D6">
      <w:pPr>
        <w:jc w:val="center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 xml:space="preserve">FEDERMANAGER INCONTRA IL MISE: </w:t>
      </w:r>
    </w:p>
    <w:p w:rsidR="007162D6" w:rsidRPr="007162D6" w:rsidRDefault="007162D6" w:rsidP="007162D6">
      <w:pPr>
        <w:jc w:val="center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 xml:space="preserve">DOPO </w:t>
      </w:r>
      <w:r w:rsidR="004C191D">
        <w:rPr>
          <w:rFonts w:ascii="Tahoma" w:hAnsi="Tahoma" w:cs="Tahoma"/>
          <w:b/>
          <w:sz w:val="32"/>
          <w:szCs w:val="30"/>
        </w:rPr>
        <w:t>“</w:t>
      </w:r>
      <w:r>
        <w:rPr>
          <w:rFonts w:ascii="Tahoma" w:hAnsi="Tahoma" w:cs="Tahoma"/>
          <w:b/>
          <w:sz w:val="32"/>
          <w:szCs w:val="30"/>
        </w:rPr>
        <w:t>INDUSTRIA 4.0</w:t>
      </w:r>
      <w:r w:rsidR="004C191D">
        <w:rPr>
          <w:rFonts w:ascii="Tahoma" w:hAnsi="Tahoma" w:cs="Tahoma"/>
          <w:b/>
          <w:sz w:val="32"/>
          <w:szCs w:val="30"/>
        </w:rPr>
        <w:t>”</w:t>
      </w:r>
      <w:r>
        <w:rPr>
          <w:rFonts w:ascii="Tahoma" w:hAnsi="Tahoma" w:cs="Tahoma"/>
          <w:b/>
          <w:sz w:val="32"/>
          <w:szCs w:val="30"/>
        </w:rPr>
        <w:t xml:space="preserve">, SERVE UN PIANO </w:t>
      </w:r>
      <w:r w:rsidR="004C191D">
        <w:rPr>
          <w:rFonts w:ascii="Tahoma" w:hAnsi="Tahoma" w:cs="Tahoma"/>
          <w:b/>
          <w:sz w:val="32"/>
          <w:szCs w:val="30"/>
        </w:rPr>
        <w:t>“</w:t>
      </w:r>
      <w:r w:rsidRPr="007162D6">
        <w:rPr>
          <w:rFonts w:ascii="Tahoma" w:hAnsi="Tahoma" w:cs="Tahoma"/>
          <w:b/>
          <w:sz w:val="32"/>
          <w:szCs w:val="30"/>
        </w:rPr>
        <w:t>LAVORO 4.0</w:t>
      </w:r>
      <w:r w:rsidR="004C191D">
        <w:rPr>
          <w:rFonts w:ascii="Tahoma" w:hAnsi="Tahoma" w:cs="Tahoma"/>
          <w:b/>
          <w:sz w:val="32"/>
          <w:szCs w:val="30"/>
        </w:rPr>
        <w:t>”</w:t>
      </w:r>
    </w:p>
    <w:p w:rsidR="007162D6" w:rsidRPr="007162D6" w:rsidRDefault="007162D6" w:rsidP="007162D6">
      <w:pPr>
        <w:jc w:val="center"/>
        <w:rPr>
          <w:rFonts w:ascii="Tahoma" w:hAnsi="Tahoma" w:cs="Tahoma"/>
          <w:b/>
          <w:sz w:val="32"/>
          <w:szCs w:val="30"/>
        </w:rPr>
      </w:pPr>
    </w:p>
    <w:p w:rsidR="007162D6" w:rsidRPr="007162D6" w:rsidRDefault="007162D6" w:rsidP="007162D6">
      <w:pPr>
        <w:jc w:val="center"/>
        <w:rPr>
          <w:rFonts w:ascii="Tahoma" w:hAnsi="Tahoma" w:cs="Tahoma"/>
          <w:b/>
          <w:sz w:val="32"/>
          <w:szCs w:val="30"/>
        </w:rPr>
      </w:pP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Roma, 18 luglio 2017 - Nel corso </w:t>
      </w:r>
      <w:r w:rsidR="007C4463">
        <w:rPr>
          <w:rFonts w:ascii="Tahoma" w:hAnsi="Tahoma" w:cs="Tahoma"/>
          <w:sz w:val="23"/>
          <w:szCs w:val="23"/>
        </w:rPr>
        <w:t xml:space="preserve">di un proficuo incontro che il direttore generale </w:t>
      </w:r>
      <w:proofErr w:type="spellStart"/>
      <w:r w:rsidR="007C4463">
        <w:rPr>
          <w:rFonts w:ascii="Tahoma" w:hAnsi="Tahoma" w:cs="Tahoma"/>
          <w:sz w:val="23"/>
          <w:szCs w:val="23"/>
        </w:rPr>
        <w:t>Federmanage</w:t>
      </w:r>
      <w:proofErr w:type="spellEnd"/>
      <w:r w:rsidR="007C4463">
        <w:rPr>
          <w:rFonts w:ascii="Tahoma" w:hAnsi="Tahoma" w:cs="Tahoma"/>
          <w:sz w:val="23"/>
          <w:szCs w:val="23"/>
        </w:rPr>
        <w:t xml:space="preserve">, Mario </w:t>
      </w:r>
      <w:r w:rsidR="007C4463" w:rsidRPr="007C4463">
        <w:rPr>
          <w:rFonts w:ascii="Tahoma" w:hAnsi="Tahoma" w:cs="Tahoma"/>
          <w:b/>
          <w:sz w:val="23"/>
          <w:szCs w:val="23"/>
        </w:rPr>
        <w:t>Cardoni</w:t>
      </w:r>
      <w:r w:rsidR="007C4463">
        <w:rPr>
          <w:rFonts w:ascii="Tahoma" w:hAnsi="Tahoma" w:cs="Tahoma"/>
          <w:sz w:val="23"/>
          <w:szCs w:val="23"/>
        </w:rPr>
        <w:t>,</w:t>
      </w:r>
      <w:r w:rsidRPr="007162D6">
        <w:rPr>
          <w:rFonts w:ascii="Tahoma" w:hAnsi="Tahoma" w:cs="Tahoma"/>
          <w:sz w:val="23"/>
          <w:szCs w:val="23"/>
        </w:rPr>
        <w:t xml:space="preserve"> ha avuto oggi con il </w:t>
      </w:r>
      <w:r w:rsidR="007C4463">
        <w:rPr>
          <w:rFonts w:ascii="Tahoma" w:hAnsi="Tahoma" w:cs="Tahoma"/>
          <w:sz w:val="23"/>
          <w:szCs w:val="23"/>
        </w:rPr>
        <w:t>s</w:t>
      </w:r>
      <w:r w:rsidRPr="007162D6">
        <w:rPr>
          <w:rFonts w:ascii="Tahoma" w:hAnsi="Tahoma" w:cs="Tahoma"/>
          <w:sz w:val="23"/>
          <w:szCs w:val="23"/>
        </w:rPr>
        <w:t xml:space="preserve">egretario </w:t>
      </w:r>
      <w:r w:rsidR="007C4463">
        <w:rPr>
          <w:rFonts w:ascii="Tahoma" w:hAnsi="Tahoma" w:cs="Tahoma"/>
          <w:sz w:val="23"/>
          <w:szCs w:val="23"/>
        </w:rPr>
        <w:t>g</w:t>
      </w:r>
      <w:r w:rsidRPr="007162D6">
        <w:rPr>
          <w:rFonts w:ascii="Tahoma" w:hAnsi="Tahoma" w:cs="Tahoma"/>
          <w:sz w:val="23"/>
          <w:szCs w:val="23"/>
        </w:rPr>
        <w:t xml:space="preserve">enerale del MISE, Andrea </w:t>
      </w:r>
      <w:r w:rsidRPr="007C4463">
        <w:rPr>
          <w:rFonts w:ascii="Tahoma" w:hAnsi="Tahoma" w:cs="Tahoma"/>
          <w:b/>
          <w:sz w:val="23"/>
          <w:szCs w:val="23"/>
        </w:rPr>
        <w:t>Napoletano</w:t>
      </w:r>
      <w:r w:rsidRPr="007162D6">
        <w:rPr>
          <w:rFonts w:ascii="Tahoma" w:hAnsi="Tahoma" w:cs="Tahoma"/>
          <w:sz w:val="23"/>
          <w:szCs w:val="23"/>
        </w:rPr>
        <w:t xml:space="preserve">, a cui ha partecipato anche il </w:t>
      </w:r>
      <w:r w:rsidR="007C4463">
        <w:rPr>
          <w:rFonts w:ascii="Tahoma" w:hAnsi="Tahoma" w:cs="Tahoma"/>
          <w:sz w:val="23"/>
          <w:szCs w:val="23"/>
        </w:rPr>
        <w:t>capo della s</w:t>
      </w:r>
      <w:r w:rsidRPr="007162D6">
        <w:rPr>
          <w:rFonts w:ascii="Tahoma" w:hAnsi="Tahoma" w:cs="Tahoma"/>
          <w:sz w:val="23"/>
          <w:szCs w:val="23"/>
        </w:rPr>
        <w:t xml:space="preserve">egreteria </w:t>
      </w:r>
      <w:r w:rsidR="007C4463">
        <w:rPr>
          <w:rFonts w:ascii="Tahoma" w:hAnsi="Tahoma" w:cs="Tahoma"/>
          <w:sz w:val="23"/>
          <w:szCs w:val="23"/>
        </w:rPr>
        <w:t xml:space="preserve">tecnica del Ministro </w:t>
      </w:r>
      <w:proofErr w:type="spellStart"/>
      <w:r w:rsidR="007C4463">
        <w:rPr>
          <w:rFonts w:ascii="Tahoma" w:hAnsi="Tahoma" w:cs="Tahoma"/>
          <w:sz w:val="23"/>
          <w:szCs w:val="23"/>
        </w:rPr>
        <w:t>Calenda</w:t>
      </w:r>
      <w:proofErr w:type="spellEnd"/>
      <w:r w:rsidR="007C4463">
        <w:rPr>
          <w:rFonts w:ascii="Tahoma" w:hAnsi="Tahoma" w:cs="Tahoma"/>
          <w:sz w:val="23"/>
          <w:szCs w:val="23"/>
        </w:rPr>
        <w:t xml:space="preserve">, </w:t>
      </w:r>
      <w:r w:rsidRPr="007162D6">
        <w:rPr>
          <w:rFonts w:ascii="Tahoma" w:hAnsi="Tahoma" w:cs="Tahoma"/>
          <w:sz w:val="23"/>
          <w:szCs w:val="23"/>
        </w:rPr>
        <w:t xml:space="preserve">Francesco </w:t>
      </w:r>
      <w:r w:rsidRPr="007C4463">
        <w:rPr>
          <w:rFonts w:ascii="Tahoma" w:hAnsi="Tahoma" w:cs="Tahoma"/>
          <w:b/>
          <w:sz w:val="23"/>
          <w:szCs w:val="23"/>
        </w:rPr>
        <w:t>Cuccia</w:t>
      </w:r>
      <w:r w:rsidRPr="007162D6">
        <w:rPr>
          <w:rFonts w:ascii="Tahoma" w:hAnsi="Tahoma" w:cs="Tahoma"/>
          <w:sz w:val="23"/>
          <w:szCs w:val="23"/>
        </w:rPr>
        <w:t xml:space="preserve">, si è fatto il punto sullo stato di avanzamento del Piano nazionale “Industria 4.0” e sul contributo strategico che il management può fornire per favorire la </w:t>
      </w:r>
      <w:proofErr w:type="spellStart"/>
      <w:r w:rsidRPr="007162D6">
        <w:rPr>
          <w:rFonts w:ascii="Tahoma" w:hAnsi="Tahoma" w:cs="Tahoma"/>
          <w:i/>
          <w:sz w:val="23"/>
          <w:szCs w:val="23"/>
        </w:rPr>
        <w:t>digital</w:t>
      </w:r>
      <w:proofErr w:type="spellEnd"/>
      <w:r w:rsidRPr="007162D6">
        <w:rPr>
          <w:rFonts w:ascii="Tahoma" w:hAnsi="Tahoma" w:cs="Tahoma"/>
          <w:i/>
          <w:sz w:val="23"/>
          <w:szCs w:val="23"/>
        </w:rPr>
        <w:t xml:space="preserve"> </w:t>
      </w:r>
      <w:proofErr w:type="spellStart"/>
      <w:r w:rsidRPr="007162D6">
        <w:rPr>
          <w:rFonts w:ascii="Tahoma" w:hAnsi="Tahoma" w:cs="Tahoma"/>
          <w:i/>
          <w:sz w:val="23"/>
          <w:szCs w:val="23"/>
        </w:rPr>
        <w:t>transformation</w:t>
      </w:r>
      <w:proofErr w:type="spellEnd"/>
      <w:r w:rsidRPr="007162D6">
        <w:rPr>
          <w:rFonts w:ascii="Tahoma" w:hAnsi="Tahoma" w:cs="Tahoma"/>
          <w:sz w:val="23"/>
          <w:szCs w:val="23"/>
        </w:rPr>
        <w:t xml:space="preserve"> delle nostre imprese.</w:t>
      </w: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 </w:t>
      </w:r>
    </w:p>
    <w:p w:rsidR="007162D6" w:rsidRPr="007162D6" w:rsidRDefault="007162D6" w:rsidP="007162D6">
      <w:pPr>
        <w:jc w:val="both"/>
        <w:rPr>
          <w:rFonts w:ascii="Tahoma" w:hAnsi="Tahoma" w:cs="Tahoma"/>
          <w:i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Il </w:t>
      </w:r>
      <w:r w:rsidR="007C4463">
        <w:rPr>
          <w:rFonts w:ascii="Tahoma" w:hAnsi="Tahoma" w:cs="Tahoma"/>
          <w:sz w:val="23"/>
          <w:szCs w:val="23"/>
        </w:rPr>
        <w:t>MISE</w:t>
      </w:r>
      <w:r w:rsidRPr="007162D6">
        <w:rPr>
          <w:rFonts w:ascii="Tahoma" w:hAnsi="Tahoma" w:cs="Tahoma"/>
          <w:sz w:val="23"/>
          <w:szCs w:val="23"/>
        </w:rPr>
        <w:t xml:space="preserve"> sta progettando il secondo capitolo del Piano che, dopo quello </w:t>
      </w:r>
      <w:r w:rsidR="007C4463">
        <w:rPr>
          <w:rFonts w:ascii="Tahoma" w:hAnsi="Tahoma" w:cs="Tahoma"/>
          <w:sz w:val="23"/>
          <w:szCs w:val="23"/>
        </w:rPr>
        <w:t xml:space="preserve">incentrato </w:t>
      </w:r>
      <w:r w:rsidRPr="007162D6">
        <w:rPr>
          <w:rFonts w:ascii="Tahoma" w:hAnsi="Tahoma" w:cs="Tahoma"/>
          <w:sz w:val="23"/>
          <w:szCs w:val="23"/>
        </w:rPr>
        <w:t>sugli investiment</w:t>
      </w:r>
      <w:r w:rsidR="007C4463">
        <w:rPr>
          <w:rFonts w:ascii="Tahoma" w:hAnsi="Tahoma" w:cs="Tahoma"/>
          <w:sz w:val="23"/>
          <w:szCs w:val="23"/>
        </w:rPr>
        <w:t xml:space="preserve">i tecnologici, </w:t>
      </w:r>
      <w:r w:rsidRPr="007162D6">
        <w:rPr>
          <w:rFonts w:ascii="Tahoma" w:hAnsi="Tahoma" w:cs="Tahoma"/>
          <w:sz w:val="23"/>
          <w:szCs w:val="23"/>
        </w:rPr>
        <w:t xml:space="preserve">dovrebbe essere dedicato al “Lavoro 4.0”, con l’obiettivo di prevenire i rischi </w:t>
      </w:r>
      <w:r w:rsidR="007C4463">
        <w:rPr>
          <w:rFonts w:ascii="Tahoma" w:hAnsi="Tahoma" w:cs="Tahoma"/>
          <w:sz w:val="23"/>
          <w:szCs w:val="23"/>
        </w:rPr>
        <w:t>per l’occupazione</w:t>
      </w:r>
      <w:r w:rsidRPr="007162D6">
        <w:rPr>
          <w:rFonts w:ascii="Tahoma" w:hAnsi="Tahoma" w:cs="Tahoma"/>
          <w:sz w:val="23"/>
          <w:szCs w:val="23"/>
        </w:rPr>
        <w:t xml:space="preserve"> che potrebbe</w:t>
      </w:r>
      <w:r w:rsidR="007C4463">
        <w:rPr>
          <w:rFonts w:ascii="Tahoma" w:hAnsi="Tahoma" w:cs="Tahoma"/>
          <w:sz w:val="23"/>
          <w:szCs w:val="23"/>
        </w:rPr>
        <w:t>ro</w:t>
      </w:r>
      <w:r w:rsidRPr="007162D6">
        <w:rPr>
          <w:rFonts w:ascii="Tahoma" w:hAnsi="Tahoma" w:cs="Tahoma"/>
          <w:sz w:val="23"/>
          <w:szCs w:val="23"/>
        </w:rPr>
        <w:t xml:space="preserve"> generarsi dall’affermazione di produzioni ad elevata automazione. In tale ambito, evidentemente, si inquadra anche il tema delle misure a sostegno delle nuove competenze per l’</w:t>
      </w:r>
      <w:proofErr w:type="spellStart"/>
      <w:r w:rsidRPr="007162D6">
        <w:rPr>
          <w:rFonts w:ascii="Tahoma" w:hAnsi="Tahoma" w:cs="Tahoma"/>
          <w:sz w:val="23"/>
          <w:szCs w:val="23"/>
        </w:rPr>
        <w:t>occupabilità</w:t>
      </w:r>
      <w:proofErr w:type="spellEnd"/>
      <w:r w:rsidRPr="007162D6">
        <w:rPr>
          <w:rFonts w:ascii="Tahoma" w:hAnsi="Tahoma" w:cs="Tahoma"/>
          <w:i/>
          <w:sz w:val="23"/>
          <w:szCs w:val="23"/>
        </w:rPr>
        <w:t>.</w:t>
      </w:r>
    </w:p>
    <w:p w:rsidR="007162D6" w:rsidRPr="007162D6" w:rsidRDefault="007162D6" w:rsidP="007162D6">
      <w:pPr>
        <w:jc w:val="both"/>
        <w:rPr>
          <w:rFonts w:ascii="Tahoma" w:hAnsi="Tahoma" w:cs="Tahoma"/>
          <w:i/>
          <w:sz w:val="23"/>
          <w:szCs w:val="23"/>
        </w:rPr>
      </w:pP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Su questo fronte, </w:t>
      </w:r>
      <w:r w:rsidR="007C4463">
        <w:rPr>
          <w:rFonts w:ascii="Tahoma" w:hAnsi="Tahoma" w:cs="Tahoma"/>
          <w:sz w:val="23"/>
          <w:szCs w:val="23"/>
        </w:rPr>
        <w:t xml:space="preserve">infatti, </w:t>
      </w:r>
      <w:r w:rsidRPr="007162D6">
        <w:rPr>
          <w:rFonts w:ascii="Tahoma" w:hAnsi="Tahoma" w:cs="Tahoma"/>
          <w:sz w:val="23"/>
          <w:szCs w:val="23"/>
        </w:rPr>
        <w:t>la delegazione Federmanage</w:t>
      </w:r>
      <w:bookmarkStart w:id="0" w:name="_GoBack"/>
      <w:bookmarkEnd w:id="0"/>
      <w:r w:rsidRPr="007162D6">
        <w:rPr>
          <w:rFonts w:ascii="Tahoma" w:hAnsi="Tahoma" w:cs="Tahoma"/>
          <w:sz w:val="23"/>
          <w:szCs w:val="23"/>
        </w:rPr>
        <w:t xml:space="preserve">r ha illustrato le numerose iniziative </w:t>
      </w:r>
      <w:r w:rsidR="007C4463">
        <w:rPr>
          <w:rFonts w:ascii="Tahoma" w:hAnsi="Tahoma" w:cs="Tahoma"/>
          <w:sz w:val="23"/>
          <w:szCs w:val="23"/>
        </w:rPr>
        <w:t xml:space="preserve">messe </w:t>
      </w:r>
      <w:r w:rsidRPr="007162D6">
        <w:rPr>
          <w:rFonts w:ascii="Tahoma" w:hAnsi="Tahoma" w:cs="Tahoma"/>
          <w:sz w:val="23"/>
          <w:szCs w:val="23"/>
        </w:rPr>
        <w:t xml:space="preserve">in campo a supporto della diffusione capillare di </w:t>
      </w:r>
      <w:proofErr w:type="spellStart"/>
      <w:r w:rsidRPr="007162D6">
        <w:rPr>
          <w:rFonts w:ascii="Tahoma" w:hAnsi="Tahoma" w:cs="Tahoma"/>
          <w:sz w:val="23"/>
          <w:szCs w:val="23"/>
        </w:rPr>
        <w:t>Industry</w:t>
      </w:r>
      <w:proofErr w:type="spellEnd"/>
      <w:r w:rsidRPr="007162D6">
        <w:rPr>
          <w:rFonts w:ascii="Tahoma" w:hAnsi="Tahoma" w:cs="Tahoma"/>
          <w:sz w:val="23"/>
          <w:szCs w:val="23"/>
        </w:rPr>
        <w:t xml:space="preserve"> 4.0 ed evidenziato il percorso </w:t>
      </w:r>
      <w:r w:rsidR="007C4463">
        <w:rPr>
          <w:rFonts w:ascii="Tahoma" w:hAnsi="Tahoma" w:cs="Tahoma"/>
          <w:sz w:val="23"/>
          <w:szCs w:val="23"/>
        </w:rPr>
        <w:t>avviato</w:t>
      </w:r>
      <w:r w:rsidRPr="007162D6">
        <w:rPr>
          <w:rFonts w:ascii="Tahoma" w:hAnsi="Tahoma" w:cs="Tahoma"/>
          <w:sz w:val="23"/>
          <w:szCs w:val="23"/>
        </w:rPr>
        <w:t xml:space="preserve"> per agevolare, nel corso del biennio 2017-2018, la formazione e la certificazione delle competenze di 300 manager destinati </w:t>
      </w:r>
      <w:r w:rsidR="007C4463">
        <w:rPr>
          <w:rFonts w:ascii="Tahoma" w:hAnsi="Tahoma" w:cs="Tahoma"/>
          <w:sz w:val="23"/>
          <w:szCs w:val="23"/>
        </w:rPr>
        <w:t>a</w:t>
      </w:r>
      <w:r w:rsidRPr="007162D6">
        <w:rPr>
          <w:rFonts w:ascii="Tahoma" w:hAnsi="Tahoma" w:cs="Tahoma"/>
          <w:sz w:val="23"/>
          <w:szCs w:val="23"/>
        </w:rPr>
        <w:t xml:space="preserve"> svolgere il ruolo di “</w:t>
      </w:r>
      <w:proofErr w:type="spellStart"/>
      <w:r w:rsidRPr="007162D6">
        <w:rPr>
          <w:rFonts w:ascii="Tahoma" w:hAnsi="Tahoma" w:cs="Tahoma"/>
          <w:b/>
          <w:i/>
          <w:sz w:val="23"/>
          <w:szCs w:val="23"/>
        </w:rPr>
        <w:t>Innovation</w:t>
      </w:r>
      <w:proofErr w:type="spellEnd"/>
      <w:r w:rsidRPr="007162D6">
        <w:rPr>
          <w:rFonts w:ascii="Tahoma" w:hAnsi="Tahoma" w:cs="Tahoma"/>
          <w:b/>
          <w:i/>
          <w:sz w:val="23"/>
          <w:szCs w:val="23"/>
        </w:rPr>
        <w:t xml:space="preserve"> manager</w:t>
      </w:r>
      <w:r w:rsidRPr="007162D6">
        <w:rPr>
          <w:rFonts w:ascii="Tahoma" w:hAnsi="Tahoma" w:cs="Tahoma"/>
          <w:sz w:val="23"/>
          <w:szCs w:val="23"/>
        </w:rPr>
        <w:t>”.</w:t>
      </w: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Date le premesse, si è condivisa la possibilità di studiare </w:t>
      </w:r>
      <w:r w:rsidRPr="007162D6">
        <w:rPr>
          <w:rFonts w:ascii="Tahoma" w:hAnsi="Tahoma" w:cs="Tahoma"/>
          <w:b/>
          <w:sz w:val="23"/>
          <w:szCs w:val="23"/>
        </w:rPr>
        <w:t>un incentivo specifico a sostegno dell’introduzione di manager dell’innovazione nelle imprese</w:t>
      </w:r>
      <w:r w:rsidRPr="007162D6">
        <w:rPr>
          <w:rFonts w:ascii="Tahoma" w:hAnsi="Tahoma" w:cs="Tahoma"/>
          <w:sz w:val="23"/>
          <w:szCs w:val="23"/>
        </w:rPr>
        <w:t>.</w:t>
      </w:r>
      <w:r w:rsidRPr="007162D6">
        <w:rPr>
          <w:rFonts w:ascii="Tahoma" w:hAnsi="Tahoma" w:cs="Tahoma"/>
          <w:sz w:val="23"/>
          <w:szCs w:val="23"/>
        </w:rPr>
        <w:t xml:space="preserve"> I rappresentanti del </w:t>
      </w:r>
      <w:r w:rsidR="007C4463">
        <w:rPr>
          <w:rFonts w:ascii="Tahoma" w:hAnsi="Tahoma" w:cs="Tahoma"/>
          <w:sz w:val="23"/>
          <w:szCs w:val="23"/>
        </w:rPr>
        <w:t>MISE</w:t>
      </w:r>
      <w:r w:rsidRPr="007162D6">
        <w:rPr>
          <w:rFonts w:ascii="Tahoma" w:hAnsi="Tahoma" w:cs="Tahoma"/>
          <w:sz w:val="23"/>
          <w:szCs w:val="23"/>
        </w:rPr>
        <w:t xml:space="preserve"> hanno </w:t>
      </w:r>
      <w:r w:rsidRPr="007162D6">
        <w:rPr>
          <w:rFonts w:ascii="Tahoma" w:hAnsi="Tahoma" w:cs="Tahoma"/>
          <w:sz w:val="23"/>
          <w:szCs w:val="23"/>
        </w:rPr>
        <w:t>quindi</w:t>
      </w:r>
      <w:r w:rsidRPr="007162D6">
        <w:rPr>
          <w:rFonts w:ascii="Tahoma" w:hAnsi="Tahoma" w:cs="Tahoma"/>
          <w:sz w:val="23"/>
          <w:szCs w:val="23"/>
        </w:rPr>
        <w:t xml:space="preserve"> chiesto la collaborazione di Federmanager </w:t>
      </w:r>
      <w:r w:rsidR="007C4463">
        <w:rPr>
          <w:rFonts w:ascii="Tahoma" w:hAnsi="Tahoma" w:cs="Tahoma"/>
          <w:sz w:val="23"/>
          <w:szCs w:val="23"/>
        </w:rPr>
        <w:t>nella definizione</w:t>
      </w:r>
      <w:r w:rsidRPr="007162D6">
        <w:rPr>
          <w:rFonts w:ascii="Tahoma" w:hAnsi="Tahoma" w:cs="Tahoma"/>
          <w:sz w:val="23"/>
          <w:szCs w:val="23"/>
        </w:rPr>
        <w:t xml:space="preserve"> di una misura </w:t>
      </w:r>
      <w:r w:rsidR="007C4463">
        <w:rPr>
          <w:rFonts w:ascii="Tahoma" w:hAnsi="Tahoma" w:cs="Tahoma"/>
          <w:sz w:val="23"/>
          <w:szCs w:val="23"/>
        </w:rPr>
        <w:t xml:space="preserve">in grado di </w:t>
      </w:r>
      <w:r w:rsidRPr="007162D6">
        <w:rPr>
          <w:rFonts w:ascii="Tahoma" w:hAnsi="Tahoma" w:cs="Tahoma"/>
          <w:sz w:val="23"/>
          <w:szCs w:val="23"/>
        </w:rPr>
        <w:t xml:space="preserve">dare lo slancio </w:t>
      </w:r>
      <w:r w:rsidR="007C4463">
        <w:rPr>
          <w:rFonts w:ascii="Tahoma" w:hAnsi="Tahoma" w:cs="Tahoma"/>
          <w:sz w:val="23"/>
          <w:szCs w:val="23"/>
        </w:rPr>
        <w:t>necessario</w:t>
      </w:r>
      <w:r w:rsidRPr="007162D6">
        <w:rPr>
          <w:rFonts w:ascii="Tahoma" w:hAnsi="Tahoma" w:cs="Tahoma"/>
          <w:sz w:val="23"/>
          <w:szCs w:val="23"/>
        </w:rPr>
        <w:t xml:space="preserve"> alle imprese</w:t>
      </w:r>
      <w:r w:rsidRPr="007162D6">
        <w:rPr>
          <w:rFonts w:ascii="Tahoma" w:hAnsi="Tahoma" w:cs="Tahoma"/>
          <w:sz w:val="23"/>
          <w:szCs w:val="23"/>
        </w:rPr>
        <w:t xml:space="preserve"> che </w:t>
      </w:r>
      <w:r w:rsidR="007C4463">
        <w:rPr>
          <w:rFonts w:ascii="Tahoma" w:hAnsi="Tahoma" w:cs="Tahoma"/>
          <w:sz w:val="23"/>
          <w:szCs w:val="23"/>
        </w:rPr>
        <w:t>intendono</w:t>
      </w:r>
      <w:r w:rsidRPr="007162D6">
        <w:rPr>
          <w:rFonts w:ascii="Tahoma" w:hAnsi="Tahoma" w:cs="Tahoma"/>
          <w:sz w:val="23"/>
          <w:szCs w:val="23"/>
        </w:rPr>
        <w:t xml:space="preserve"> dotarsi di risorse professionali </w:t>
      </w:r>
      <w:r w:rsidR="007C4463">
        <w:rPr>
          <w:rFonts w:ascii="Tahoma" w:hAnsi="Tahoma" w:cs="Tahoma"/>
          <w:sz w:val="23"/>
          <w:szCs w:val="23"/>
        </w:rPr>
        <w:t>capaci</w:t>
      </w:r>
      <w:r w:rsidRPr="007162D6">
        <w:rPr>
          <w:rFonts w:ascii="Tahoma" w:hAnsi="Tahoma" w:cs="Tahoma"/>
          <w:sz w:val="23"/>
          <w:szCs w:val="23"/>
        </w:rPr>
        <w:t xml:space="preserve"> di guidare i necessari processi di innovazione digitale</w:t>
      </w:r>
      <w:r w:rsidRPr="007162D6">
        <w:rPr>
          <w:rFonts w:ascii="Tahoma" w:hAnsi="Tahoma" w:cs="Tahoma"/>
          <w:sz w:val="23"/>
          <w:szCs w:val="23"/>
        </w:rPr>
        <w:t xml:space="preserve">. </w:t>
      </w: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>U</w:t>
      </w:r>
      <w:r w:rsidRPr="007162D6">
        <w:rPr>
          <w:rFonts w:ascii="Tahoma" w:hAnsi="Tahoma" w:cs="Tahoma"/>
          <w:sz w:val="23"/>
          <w:szCs w:val="23"/>
        </w:rPr>
        <w:t xml:space="preserve">na prima ipotesi </w:t>
      </w:r>
      <w:r w:rsidRPr="007162D6">
        <w:rPr>
          <w:rFonts w:ascii="Tahoma" w:hAnsi="Tahoma" w:cs="Tahoma"/>
          <w:sz w:val="23"/>
          <w:szCs w:val="23"/>
        </w:rPr>
        <w:t xml:space="preserve">di intervento </w:t>
      </w:r>
      <w:r w:rsidRPr="007162D6">
        <w:rPr>
          <w:rFonts w:ascii="Tahoma" w:hAnsi="Tahoma" w:cs="Tahoma"/>
          <w:sz w:val="23"/>
          <w:szCs w:val="23"/>
        </w:rPr>
        <w:t xml:space="preserve">potrebbe consistere nel </w:t>
      </w:r>
      <w:r w:rsidRPr="007C4463">
        <w:rPr>
          <w:rFonts w:ascii="Tahoma" w:hAnsi="Tahoma" w:cs="Tahoma"/>
          <w:b/>
          <w:sz w:val="23"/>
          <w:szCs w:val="23"/>
        </w:rPr>
        <w:t>conferimento di un contributo a fondo</w:t>
      </w:r>
      <w:r w:rsidRPr="007C4463">
        <w:rPr>
          <w:rFonts w:ascii="Tahoma" w:hAnsi="Tahoma" w:cs="Tahoma"/>
          <w:b/>
          <w:sz w:val="23"/>
          <w:szCs w:val="23"/>
        </w:rPr>
        <w:t xml:space="preserve"> perduto</w:t>
      </w:r>
      <w:r w:rsidR="007C4463">
        <w:rPr>
          <w:rFonts w:ascii="Tahoma" w:hAnsi="Tahoma" w:cs="Tahoma"/>
          <w:b/>
          <w:sz w:val="23"/>
          <w:szCs w:val="23"/>
        </w:rPr>
        <w:t xml:space="preserve"> oppure di una specifica agevolazione fiscale</w:t>
      </w:r>
      <w:r w:rsidRPr="007162D6">
        <w:rPr>
          <w:rFonts w:ascii="Tahoma" w:hAnsi="Tahoma" w:cs="Tahoma"/>
          <w:sz w:val="23"/>
          <w:szCs w:val="23"/>
        </w:rPr>
        <w:t xml:space="preserve"> da introdurre già ne</w:t>
      </w:r>
      <w:r w:rsidRPr="007162D6">
        <w:rPr>
          <w:rFonts w:ascii="Tahoma" w:hAnsi="Tahoma" w:cs="Tahoma"/>
          <w:sz w:val="23"/>
          <w:szCs w:val="23"/>
        </w:rPr>
        <w:t>lla prossima Legge di Bilancio.</w:t>
      </w: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</w:p>
    <w:p w:rsidR="007C4463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Con le dovute distinzioni, il meccanismo potrebbe essere analogo a quello introdotto nel 2015 per l’erogazione di </w:t>
      </w:r>
      <w:r w:rsidRPr="007162D6">
        <w:rPr>
          <w:rFonts w:ascii="Tahoma" w:hAnsi="Tahoma" w:cs="Tahoma"/>
          <w:i/>
          <w:sz w:val="23"/>
          <w:szCs w:val="23"/>
        </w:rPr>
        <w:t xml:space="preserve">voucher </w:t>
      </w:r>
      <w:r w:rsidRPr="007162D6">
        <w:rPr>
          <w:rFonts w:ascii="Tahoma" w:hAnsi="Tahoma" w:cs="Tahoma"/>
          <w:sz w:val="23"/>
          <w:szCs w:val="23"/>
        </w:rPr>
        <w:t xml:space="preserve">destinati alle piccole e medie imprese che inserivano </w:t>
      </w:r>
      <w:proofErr w:type="spellStart"/>
      <w:r w:rsidRPr="007162D6">
        <w:rPr>
          <w:rFonts w:ascii="Tahoma" w:hAnsi="Tahoma" w:cs="Tahoma"/>
          <w:b/>
          <w:sz w:val="23"/>
          <w:szCs w:val="23"/>
        </w:rPr>
        <w:t>Temporary</w:t>
      </w:r>
      <w:proofErr w:type="spellEnd"/>
      <w:r w:rsidRPr="007162D6">
        <w:rPr>
          <w:rFonts w:ascii="Tahoma" w:hAnsi="Tahoma" w:cs="Tahoma"/>
          <w:b/>
          <w:sz w:val="23"/>
          <w:szCs w:val="23"/>
        </w:rPr>
        <w:t xml:space="preserve"> Export Manager</w:t>
      </w:r>
      <w:r w:rsidRPr="007162D6">
        <w:rPr>
          <w:rFonts w:ascii="Tahoma" w:hAnsi="Tahoma" w:cs="Tahoma"/>
          <w:sz w:val="23"/>
          <w:szCs w:val="23"/>
        </w:rPr>
        <w:t xml:space="preserve">. Dato il largo successo di questa misura, è nelle intenzioni del Ministero riproporre, subito dopo l’estate, l’agevolazione a favore dell’inserimento temporaneo di queste figure specializzate nei processi di internazionalizzazione, con uno stanziamento ancor più consistente di quanto destinato in precedenza. </w:t>
      </w: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  <w:r w:rsidRPr="007162D6">
        <w:rPr>
          <w:rFonts w:ascii="Tahoma" w:hAnsi="Tahoma" w:cs="Tahoma"/>
          <w:sz w:val="23"/>
          <w:szCs w:val="23"/>
        </w:rPr>
        <w:t xml:space="preserve">Anche su questa prospettiva di sostegno alla managerialità, la Federazione ha espresso la più ampia disponibilità a collaborare. </w:t>
      </w:r>
    </w:p>
    <w:p w:rsidR="007162D6" w:rsidRPr="007162D6" w:rsidRDefault="007162D6" w:rsidP="007162D6">
      <w:pPr>
        <w:jc w:val="both"/>
        <w:rPr>
          <w:rFonts w:ascii="Tahoma" w:hAnsi="Tahoma" w:cs="Tahoma"/>
          <w:sz w:val="23"/>
          <w:szCs w:val="23"/>
        </w:rPr>
      </w:pPr>
    </w:p>
    <w:p w:rsidR="002604FE" w:rsidRPr="007162D6" w:rsidRDefault="002604FE" w:rsidP="007162D6">
      <w:pPr>
        <w:jc w:val="both"/>
        <w:rPr>
          <w:rFonts w:ascii="Tahoma" w:hAnsi="Tahoma" w:cs="Tahoma"/>
          <w:sz w:val="23"/>
          <w:szCs w:val="23"/>
        </w:rPr>
      </w:pPr>
    </w:p>
    <w:sectPr w:rsidR="002604FE" w:rsidRPr="007162D6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69" w:rsidRDefault="00EF2269" w:rsidP="00E9149E">
      <w:r>
        <w:separator/>
      </w:r>
    </w:p>
  </w:endnote>
  <w:endnote w:type="continuationSeparator" w:id="0">
    <w:p w:rsidR="00EF2269" w:rsidRDefault="00EF2269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69" w:rsidRDefault="00EF2269" w:rsidP="00E9149E">
      <w:r>
        <w:separator/>
      </w:r>
    </w:p>
  </w:footnote>
  <w:footnote w:type="continuationSeparator" w:id="0">
    <w:p w:rsidR="00EF2269" w:rsidRDefault="00EF2269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61058"/>
    <w:rsid w:val="0006539A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D7786"/>
    <w:rsid w:val="001D7C92"/>
    <w:rsid w:val="001E04BE"/>
    <w:rsid w:val="001E52D8"/>
    <w:rsid w:val="001E654D"/>
    <w:rsid w:val="00222A18"/>
    <w:rsid w:val="0022765B"/>
    <w:rsid w:val="00235D66"/>
    <w:rsid w:val="00243C72"/>
    <w:rsid w:val="002527D8"/>
    <w:rsid w:val="00256C86"/>
    <w:rsid w:val="002604FE"/>
    <w:rsid w:val="0031487D"/>
    <w:rsid w:val="003162C9"/>
    <w:rsid w:val="00316A01"/>
    <w:rsid w:val="0032236A"/>
    <w:rsid w:val="0032343C"/>
    <w:rsid w:val="00330074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427950"/>
    <w:rsid w:val="00433505"/>
    <w:rsid w:val="00437A2D"/>
    <w:rsid w:val="00441977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C31"/>
    <w:rsid w:val="004F3237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49A8"/>
    <w:rsid w:val="00687C0C"/>
    <w:rsid w:val="00690340"/>
    <w:rsid w:val="00691E85"/>
    <w:rsid w:val="006A250C"/>
    <w:rsid w:val="006C08ED"/>
    <w:rsid w:val="006C1C25"/>
    <w:rsid w:val="006C488E"/>
    <w:rsid w:val="006C72B8"/>
    <w:rsid w:val="006D0D0F"/>
    <w:rsid w:val="00710B2B"/>
    <w:rsid w:val="007162D6"/>
    <w:rsid w:val="007238A2"/>
    <w:rsid w:val="00735505"/>
    <w:rsid w:val="00746C65"/>
    <w:rsid w:val="0075590E"/>
    <w:rsid w:val="007606A5"/>
    <w:rsid w:val="007656EB"/>
    <w:rsid w:val="007860AD"/>
    <w:rsid w:val="007912F3"/>
    <w:rsid w:val="00793380"/>
    <w:rsid w:val="007A14AF"/>
    <w:rsid w:val="007A2641"/>
    <w:rsid w:val="007A396F"/>
    <w:rsid w:val="007A75E5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3521"/>
    <w:rsid w:val="00860387"/>
    <w:rsid w:val="008606B2"/>
    <w:rsid w:val="00862839"/>
    <w:rsid w:val="00874337"/>
    <w:rsid w:val="00874CC4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7EE2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4075"/>
    <w:rsid w:val="009F5994"/>
    <w:rsid w:val="00A00079"/>
    <w:rsid w:val="00A126B6"/>
    <w:rsid w:val="00A6329B"/>
    <w:rsid w:val="00A86412"/>
    <w:rsid w:val="00A93524"/>
    <w:rsid w:val="00A9454A"/>
    <w:rsid w:val="00AB1785"/>
    <w:rsid w:val="00AB6BBA"/>
    <w:rsid w:val="00AC1A8E"/>
    <w:rsid w:val="00AC2809"/>
    <w:rsid w:val="00AD356C"/>
    <w:rsid w:val="00AE118D"/>
    <w:rsid w:val="00AE7DB3"/>
    <w:rsid w:val="00AF00CA"/>
    <w:rsid w:val="00AF1204"/>
    <w:rsid w:val="00B10AEB"/>
    <w:rsid w:val="00B41929"/>
    <w:rsid w:val="00B42522"/>
    <w:rsid w:val="00B45D11"/>
    <w:rsid w:val="00B52757"/>
    <w:rsid w:val="00B718DF"/>
    <w:rsid w:val="00B77383"/>
    <w:rsid w:val="00BA00DD"/>
    <w:rsid w:val="00BA358A"/>
    <w:rsid w:val="00BA6957"/>
    <w:rsid w:val="00BC56E6"/>
    <w:rsid w:val="00BD3EB1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A0751"/>
    <w:rsid w:val="00DB6D21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73C7B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7F8B"/>
    <w:rsid w:val="00F715A0"/>
    <w:rsid w:val="00FA311D"/>
    <w:rsid w:val="00FC5CE7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64C3-87C0-4FFE-BAE1-2FA55EBA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2017-05-10T08:51:00Z</cp:lastPrinted>
  <dcterms:created xsi:type="dcterms:W3CDTF">2017-07-18T16:34:00Z</dcterms:created>
  <dcterms:modified xsi:type="dcterms:W3CDTF">2017-07-18T16:42:00Z</dcterms:modified>
</cp:coreProperties>
</file>