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9300" w14:textId="3DFA883E" w:rsidR="00777CEA" w:rsidRDefault="00E44270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C</w:t>
      </w:r>
      <w:r>
        <w:rPr>
          <w:rFonts w:ascii="inherit" w:eastAsia="Times New Roman" w:hAnsi="inherit" w:cs="Times New Roman" w:hint="eastAsia"/>
          <w:color w:val="000000"/>
        </w:rPr>
        <w:t>’</w:t>
      </w:r>
      <w:r>
        <w:rPr>
          <w:rFonts w:ascii="inherit" w:eastAsia="Times New Roman" w:hAnsi="inherit" w:cs="Times New Roman"/>
          <w:color w:val="000000"/>
        </w:rPr>
        <w:t>è una strana correlazione nella sanità italiana: guardando i numeri, negli ultimi tre mesi dell</w:t>
      </w:r>
      <w:r>
        <w:rPr>
          <w:rFonts w:ascii="inherit" w:eastAsia="Times New Roman" w:hAnsi="inherit" w:cs="Times New Roman" w:hint="eastAsia"/>
          <w:color w:val="000000"/>
        </w:rPr>
        <w:t>’</w:t>
      </w:r>
      <w:r>
        <w:rPr>
          <w:rFonts w:ascii="inherit" w:eastAsia="Times New Roman" w:hAnsi="inherit" w:cs="Times New Roman"/>
          <w:color w:val="000000"/>
        </w:rPr>
        <w:t xml:space="preserve">anno gli italiani si ammalano meno, ma, se si </w:t>
      </w:r>
      <w:r w:rsidR="00E80945">
        <w:rPr>
          <w:rFonts w:ascii="inherit" w:eastAsia="Times New Roman" w:hAnsi="inherit" w:cs="Times New Roman"/>
          <w:color w:val="000000"/>
        </w:rPr>
        <w:t>guardano</w:t>
      </w:r>
      <w:r>
        <w:rPr>
          <w:rFonts w:ascii="inherit" w:eastAsia="Times New Roman" w:hAnsi="inherit" w:cs="Times New Roman"/>
          <w:color w:val="000000"/>
        </w:rPr>
        <w:t xml:space="preserve"> le liste d</w:t>
      </w:r>
      <w:r>
        <w:rPr>
          <w:rFonts w:ascii="inherit" w:eastAsia="Times New Roman" w:hAnsi="inherit" w:cs="Times New Roman" w:hint="eastAsia"/>
          <w:color w:val="000000"/>
        </w:rPr>
        <w:t>’</w:t>
      </w:r>
      <w:r>
        <w:rPr>
          <w:rFonts w:ascii="inherit" w:eastAsia="Times New Roman" w:hAnsi="inherit" w:cs="Times New Roman"/>
          <w:color w:val="000000"/>
        </w:rPr>
        <w:t>attesa, nello stesso periodo, queste si allungano. A prima vista sembra un paradosso, nella realtà, invece, il motivo c</w:t>
      </w:r>
      <w:r>
        <w:rPr>
          <w:rFonts w:ascii="inherit" w:eastAsia="Times New Roman" w:hAnsi="inherit" w:cs="Times New Roman" w:hint="eastAsia"/>
          <w:color w:val="000000"/>
        </w:rPr>
        <w:t>’</w:t>
      </w:r>
      <w:r>
        <w:rPr>
          <w:rFonts w:ascii="inherit" w:eastAsia="Times New Roman" w:hAnsi="inherit" w:cs="Times New Roman"/>
          <w:color w:val="000000"/>
        </w:rPr>
        <w:t>è e non è molto confortante. Il dato nazionale è chiarissimo: si passa, infatti, dai 189,6 milioni di prestazioni ambulatoriali del primo trimestre ai 170,5 milioni degli ultimi tre mesi dell</w:t>
      </w:r>
      <w:r>
        <w:rPr>
          <w:rFonts w:ascii="inherit" w:eastAsia="Times New Roman" w:hAnsi="inherit" w:cs="Times New Roman" w:hint="eastAsia"/>
          <w:color w:val="000000"/>
        </w:rPr>
        <w:t>’</w:t>
      </w:r>
      <w:r>
        <w:rPr>
          <w:rFonts w:ascii="inherit" w:eastAsia="Times New Roman" w:hAnsi="inherit" w:cs="Times New Roman"/>
          <w:color w:val="000000"/>
        </w:rPr>
        <w:t>anno. Un saldo netto di quasi venti milioni di prestazioni in meno. Queste rivelazioni sono state rese note dall</w:t>
      </w:r>
      <w:r>
        <w:rPr>
          <w:rFonts w:ascii="inherit" w:eastAsia="Times New Roman" w:hAnsi="inherit" w:cs="Times New Roman" w:hint="eastAsia"/>
          <w:color w:val="000000"/>
        </w:rPr>
        <w:t>’</w:t>
      </w:r>
      <w:r>
        <w:rPr>
          <w:rFonts w:ascii="inherit" w:eastAsia="Times New Roman" w:hAnsi="inherit" w:cs="Times New Roman"/>
          <w:color w:val="000000"/>
        </w:rPr>
        <w:t>ultimo rapporto, appena completato, di Polis Lombardia, l</w:t>
      </w:r>
      <w:r>
        <w:rPr>
          <w:rFonts w:ascii="inherit" w:eastAsia="Times New Roman" w:hAnsi="inherit" w:cs="Times New Roman" w:hint="eastAsia"/>
          <w:color w:val="000000"/>
        </w:rPr>
        <w:t>’</w:t>
      </w:r>
      <w:r>
        <w:rPr>
          <w:rFonts w:ascii="inherit" w:eastAsia="Times New Roman" w:hAnsi="inherit" w:cs="Times New Roman"/>
          <w:color w:val="000000"/>
        </w:rPr>
        <w:t>Istituto che supporta le politiche sanitarie della Regione lombarda</w:t>
      </w:r>
      <w:r w:rsidR="0090427C">
        <w:rPr>
          <w:rFonts w:ascii="inherit" w:eastAsia="Times New Roman" w:hAnsi="inherit" w:cs="Times New Roman"/>
          <w:color w:val="000000"/>
        </w:rPr>
        <w:t>. A Milano, ad esempio, nei primi mesi dell</w:t>
      </w:r>
      <w:r w:rsidR="0090427C">
        <w:rPr>
          <w:rFonts w:ascii="inherit" w:eastAsia="Times New Roman" w:hAnsi="inherit" w:cs="Times New Roman" w:hint="eastAsia"/>
          <w:color w:val="000000"/>
        </w:rPr>
        <w:t>’</w:t>
      </w:r>
      <w:r w:rsidR="0090427C">
        <w:rPr>
          <w:rFonts w:ascii="inherit" w:eastAsia="Times New Roman" w:hAnsi="inherit" w:cs="Times New Roman"/>
          <w:color w:val="000000"/>
        </w:rPr>
        <w:t>anno, il 93% dei pazienti del sistema sanitario pubblico, riesce a fissare un appuntamento per una visita medica entro i tempi indicati nella ricetta, e cioè dai 30 ai 90 giorni. Negli ultimi mesi la percentuale scend</w:t>
      </w:r>
      <w:r w:rsidR="00E80945">
        <w:rPr>
          <w:rFonts w:ascii="inherit" w:eastAsia="Times New Roman" w:hAnsi="inherit" w:cs="Times New Roman"/>
          <w:color w:val="000000"/>
        </w:rPr>
        <w:t>e di oltre tre punti</w:t>
      </w:r>
      <w:r w:rsidR="0090427C">
        <w:rPr>
          <w:rFonts w:ascii="inherit" w:eastAsia="Times New Roman" w:hAnsi="inherit" w:cs="Times New Roman"/>
          <w:color w:val="000000"/>
        </w:rPr>
        <w:t>, nonostante le prestazioni offerte siano inferiori. Se prendiamo, ad esempio, le prestazioni oculistiche, si legge nel report, esse passano da oltre 17 mila del primo trimestre alle 11 mila dell</w:t>
      </w:r>
      <w:r w:rsidR="0090427C">
        <w:rPr>
          <w:rFonts w:ascii="inherit" w:eastAsia="Times New Roman" w:hAnsi="inherit" w:cs="Times New Roman" w:hint="eastAsia"/>
          <w:color w:val="000000"/>
        </w:rPr>
        <w:t>’</w:t>
      </w:r>
      <w:r w:rsidR="0090427C">
        <w:rPr>
          <w:rFonts w:ascii="inherit" w:eastAsia="Times New Roman" w:hAnsi="inherit" w:cs="Times New Roman"/>
          <w:color w:val="000000"/>
        </w:rPr>
        <w:t>ultimo trimestre dell</w:t>
      </w:r>
      <w:r w:rsidR="0090427C">
        <w:rPr>
          <w:rFonts w:ascii="inherit" w:eastAsia="Times New Roman" w:hAnsi="inherit" w:cs="Times New Roman" w:hint="eastAsia"/>
          <w:color w:val="000000"/>
        </w:rPr>
        <w:t>’</w:t>
      </w:r>
      <w:r w:rsidR="0090427C">
        <w:rPr>
          <w:rFonts w:ascii="inherit" w:eastAsia="Times New Roman" w:hAnsi="inherit" w:cs="Times New Roman"/>
          <w:color w:val="000000"/>
        </w:rPr>
        <w:t>anno. Idem per le visite ortopediche, scese del 26</w:t>
      </w:r>
      <w:r w:rsidR="0090427C">
        <w:rPr>
          <w:rFonts w:ascii="inherit" w:eastAsia="Times New Roman" w:hAnsi="inherit" w:cs="Times New Roman" w:hint="eastAsia"/>
          <w:color w:val="000000"/>
        </w:rPr>
        <w:t>%, le cardiologiche del 37%</w:t>
      </w:r>
      <w:r w:rsidR="0090427C">
        <w:rPr>
          <w:rFonts w:ascii="inherit" w:eastAsia="Times New Roman" w:hAnsi="inherit" w:cs="Times New Roman"/>
          <w:color w:val="000000"/>
        </w:rPr>
        <w:t>, le neurologiche del 33%, le pneumologiche del 39% e le dermatologiche del 50%.</w:t>
      </w:r>
    </w:p>
    <w:p w14:paraId="13424497" w14:textId="39F0B8FD" w:rsidR="0090427C" w:rsidRDefault="0090427C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La spiegazione è tutta </w:t>
      </w:r>
      <w:r>
        <w:rPr>
          <w:rFonts w:ascii="inherit" w:eastAsia="Times New Roman" w:hAnsi="inherit" w:cs="Times New Roman" w:hint="eastAsia"/>
          <w:color w:val="000000"/>
        </w:rPr>
        <w:t>“</w:t>
      </w:r>
      <w:r>
        <w:rPr>
          <w:rFonts w:ascii="inherit" w:eastAsia="Times New Roman" w:hAnsi="inherit" w:cs="Times New Roman"/>
          <w:color w:val="000000"/>
        </w:rPr>
        <w:t>contabile</w:t>
      </w:r>
      <w:r>
        <w:rPr>
          <w:rFonts w:ascii="inherit" w:eastAsia="Times New Roman" w:hAnsi="inherit" w:cs="Times New Roman" w:hint="eastAsia"/>
          <w:color w:val="000000"/>
        </w:rPr>
        <w:t>”</w:t>
      </w:r>
      <w:r w:rsidR="00162312">
        <w:rPr>
          <w:rFonts w:ascii="inherit" w:eastAsia="Times New Roman" w:hAnsi="inherit" w:cs="Times New Roman"/>
          <w:color w:val="000000"/>
        </w:rPr>
        <w:t xml:space="preserve">, quando finiscono i </w:t>
      </w:r>
      <w:r w:rsidR="00E80945">
        <w:rPr>
          <w:rFonts w:ascii="inherit" w:eastAsia="Times New Roman" w:hAnsi="inherit" w:cs="Times New Roman"/>
          <w:color w:val="000000"/>
        </w:rPr>
        <w:t>soldi,</w:t>
      </w:r>
      <w:r w:rsidR="00162312">
        <w:rPr>
          <w:rFonts w:ascii="inherit" w:eastAsia="Times New Roman" w:hAnsi="inherit" w:cs="Times New Roman"/>
          <w:color w:val="000000"/>
        </w:rPr>
        <w:t xml:space="preserve"> si chiudono le prestazioni. Gli ospedali, of</w:t>
      </w:r>
      <w:r w:rsidR="00E80945">
        <w:rPr>
          <w:rFonts w:ascii="inherit" w:eastAsia="Times New Roman" w:hAnsi="inherit" w:cs="Times New Roman"/>
          <w:color w:val="000000"/>
        </w:rPr>
        <w:t xml:space="preserve">frono i loro servizi ai pazienti, </w:t>
      </w:r>
      <w:proofErr w:type="spellStart"/>
      <w:r w:rsidR="00E80945">
        <w:rPr>
          <w:rFonts w:ascii="inherit" w:eastAsia="Times New Roman" w:hAnsi="inherit" w:cs="Times New Roman"/>
          <w:color w:val="000000"/>
        </w:rPr>
        <w:t>finchè</w:t>
      </w:r>
      <w:proofErr w:type="spellEnd"/>
      <w:r w:rsidR="00162312">
        <w:rPr>
          <w:rFonts w:ascii="inherit" w:eastAsia="Times New Roman" w:hAnsi="inherit" w:cs="Times New Roman"/>
          <w:color w:val="000000"/>
        </w:rPr>
        <w:t xml:space="preserve"> hanno i soldi. Quando questi finiscono, e ciò accade puntualmente verso la fine dell</w:t>
      </w:r>
      <w:r w:rsidR="00162312">
        <w:rPr>
          <w:rFonts w:ascii="inherit" w:eastAsia="Times New Roman" w:hAnsi="inherit" w:cs="Times New Roman" w:hint="eastAsia"/>
          <w:color w:val="000000"/>
        </w:rPr>
        <w:t>’</w:t>
      </w:r>
      <w:r w:rsidR="00162312">
        <w:rPr>
          <w:rFonts w:ascii="inherit" w:eastAsia="Times New Roman" w:hAnsi="inherit" w:cs="Times New Roman"/>
          <w:color w:val="000000"/>
        </w:rPr>
        <w:t xml:space="preserve">anno, chiudono le agende per le prenotazioni e ai pazienti italiani </w:t>
      </w:r>
      <w:r w:rsidR="00E80945">
        <w:rPr>
          <w:rFonts w:ascii="inherit" w:eastAsia="Times New Roman" w:hAnsi="inherit" w:cs="Times New Roman"/>
          <w:color w:val="000000"/>
        </w:rPr>
        <w:t>è</w:t>
      </w:r>
      <w:r w:rsidR="00162312">
        <w:rPr>
          <w:rFonts w:ascii="inherit" w:eastAsia="Times New Roman" w:hAnsi="inherit" w:cs="Times New Roman"/>
          <w:color w:val="000000"/>
        </w:rPr>
        <w:t xml:space="preserve"> detto, da gentili segretarie, che </w:t>
      </w:r>
      <w:r w:rsidR="00162312">
        <w:rPr>
          <w:rFonts w:ascii="inherit" w:eastAsia="Times New Roman" w:hAnsi="inherit" w:cs="Times New Roman" w:hint="eastAsia"/>
          <w:color w:val="000000"/>
        </w:rPr>
        <w:t>“</w:t>
      </w:r>
      <w:r w:rsidR="00162312">
        <w:rPr>
          <w:rFonts w:ascii="inherit" w:eastAsia="Times New Roman" w:hAnsi="inherit" w:cs="Times New Roman"/>
          <w:color w:val="000000"/>
        </w:rPr>
        <w:t>la lista d</w:t>
      </w:r>
      <w:r w:rsidR="00162312">
        <w:rPr>
          <w:rFonts w:ascii="inherit" w:eastAsia="Times New Roman" w:hAnsi="inherit" w:cs="Times New Roman" w:hint="eastAsia"/>
          <w:color w:val="000000"/>
        </w:rPr>
        <w:t>’</w:t>
      </w:r>
      <w:r w:rsidR="00162312">
        <w:rPr>
          <w:rFonts w:ascii="inherit" w:eastAsia="Times New Roman" w:hAnsi="inherit" w:cs="Times New Roman"/>
          <w:color w:val="000000"/>
        </w:rPr>
        <w:t>attesa è molto lunga ed è meglio trovare un</w:t>
      </w:r>
      <w:r w:rsidR="00162312">
        <w:rPr>
          <w:rFonts w:ascii="inherit" w:eastAsia="Times New Roman" w:hAnsi="inherit" w:cs="Times New Roman" w:hint="eastAsia"/>
          <w:color w:val="000000"/>
        </w:rPr>
        <w:t>’</w:t>
      </w:r>
      <w:r w:rsidR="00162312">
        <w:rPr>
          <w:rFonts w:ascii="inherit" w:eastAsia="Times New Roman" w:hAnsi="inherit" w:cs="Times New Roman"/>
          <w:color w:val="000000"/>
        </w:rPr>
        <w:t>altra soluzione</w:t>
      </w:r>
      <w:r w:rsidR="00162312">
        <w:rPr>
          <w:rFonts w:ascii="inherit" w:eastAsia="Times New Roman" w:hAnsi="inherit" w:cs="Times New Roman" w:hint="eastAsia"/>
          <w:color w:val="000000"/>
        </w:rPr>
        <w:t>”</w:t>
      </w:r>
      <w:r w:rsidR="00162312">
        <w:rPr>
          <w:rFonts w:ascii="inherit" w:eastAsia="Times New Roman" w:hAnsi="inherit" w:cs="Times New Roman"/>
          <w:color w:val="000000"/>
        </w:rPr>
        <w:t>.</w:t>
      </w:r>
    </w:p>
    <w:p w14:paraId="704E034F" w14:textId="775EE002" w:rsidR="00162312" w:rsidRDefault="00162312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Questo avviene </w:t>
      </w:r>
      <w:r>
        <w:rPr>
          <w:rFonts w:ascii="inherit" w:eastAsia="Times New Roman" w:hAnsi="inherit" w:cs="Times New Roman" w:hint="eastAsia"/>
          <w:color w:val="000000"/>
        </w:rPr>
        <w:t>perché</w:t>
      </w:r>
      <w:r>
        <w:rPr>
          <w:rFonts w:ascii="inherit" w:eastAsia="Times New Roman" w:hAnsi="inherit" w:cs="Times New Roman"/>
          <w:color w:val="000000"/>
        </w:rPr>
        <w:t xml:space="preserve"> le Regioni rimborsano le cure erogate ai pazienti in convenzione, </w:t>
      </w:r>
      <w:r w:rsidR="00E80945">
        <w:rPr>
          <w:rFonts w:ascii="inherit" w:eastAsia="Times New Roman" w:hAnsi="inherit" w:cs="Times New Roman"/>
          <w:color w:val="000000"/>
        </w:rPr>
        <w:t>in conformità a</w:t>
      </w:r>
      <w:r>
        <w:rPr>
          <w:rFonts w:ascii="inherit" w:eastAsia="Times New Roman" w:hAnsi="inherit" w:cs="Times New Roman"/>
          <w:color w:val="000000"/>
        </w:rPr>
        <w:t xml:space="preserve"> un budget </w:t>
      </w:r>
      <w:proofErr w:type="gramStart"/>
      <w:r>
        <w:rPr>
          <w:rFonts w:ascii="inherit" w:eastAsia="Times New Roman" w:hAnsi="inherit" w:cs="Times New Roman"/>
          <w:color w:val="000000"/>
        </w:rPr>
        <w:t xml:space="preserve">definito </w:t>
      </w:r>
      <w:r w:rsidR="00E80945">
        <w:rPr>
          <w:rFonts w:ascii="inherit" w:eastAsia="Times New Roman" w:hAnsi="inherit" w:cs="Times New Roman"/>
          <w:color w:val="000000"/>
        </w:rPr>
        <w:t xml:space="preserve"> per</w:t>
      </w:r>
      <w:proofErr w:type="gramEnd"/>
      <w:r w:rsidR="00E80945">
        <w:rPr>
          <w:rFonts w:ascii="inherit" w:eastAsia="Times New Roman" w:hAnsi="inherit" w:cs="Times New Roman"/>
          <w:color w:val="000000"/>
        </w:rPr>
        <w:t xml:space="preserve"> singola struttura</w:t>
      </w:r>
      <w:r>
        <w:rPr>
          <w:rFonts w:ascii="inherit" w:eastAsia="Times New Roman" w:hAnsi="inherit" w:cs="Times New Roman"/>
          <w:color w:val="000000"/>
        </w:rPr>
        <w:t xml:space="preserve"> e, negli ospedali pubblici, i direttori rischiano di perdere il posto in caso di </w:t>
      </w:r>
      <w:r>
        <w:rPr>
          <w:rFonts w:ascii="inherit" w:eastAsia="Times New Roman" w:hAnsi="inherit" w:cs="Times New Roman" w:hint="eastAsia"/>
          <w:color w:val="000000"/>
        </w:rPr>
        <w:t>“</w:t>
      </w:r>
      <w:r>
        <w:rPr>
          <w:rFonts w:ascii="inherit" w:eastAsia="Times New Roman" w:hAnsi="inherit" w:cs="Times New Roman"/>
          <w:color w:val="000000"/>
        </w:rPr>
        <w:t>sforamento</w:t>
      </w:r>
      <w:r>
        <w:rPr>
          <w:rFonts w:ascii="inherit" w:eastAsia="Times New Roman" w:hAnsi="inherit" w:cs="Times New Roman" w:hint="eastAsia"/>
          <w:color w:val="000000"/>
        </w:rPr>
        <w:t>”</w:t>
      </w:r>
      <w:r>
        <w:rPr>
          <w:rFonts w:ascii="inherit" w:eastAsia="Times New Roman" w:hAnsi="inherit" w:cs="Times New Roman"/>
          <w:color w:val="000000"/>
        </w:rPr>
        <w:t xml:space="preserve"> del budget stabilito a priori. Negli ospedali privati convenzionati, una volta raggiunto il tetto prefissato, semplicemente non </w:t>
      </w:r>
      <w:r w:rsidR="00E80945">
        <w:rPr>
          <w:rFonts w:ascii="inherit" w:eastAsia="Times New Roman" w:hAnsi="inherit" w:cs="Times New Roman"/>
          <w:color w:val="000000"/>
        </w:rPr>
        <w:t>sono</w:t>
      </w:r>
      <w:r>
        <w:rPr>
          <w:rFonts w:ascii="inherit" w:eastAsia="Times New Roman" w:hAnsi="inherit" w:cs="Times New Roman"/>
          <w:color w:val="000000"/>
        </w:rPr>
        <w:t xml:space="preserve"> più rimborsati e, quindi, rischiano di rimetterci in proprio. </w:t>
      </w:r>
    </w:p>
    <w:p w14:paraId="5964BB16" w14:textId="6E5CF9D2" w:rsidR="00BD02BF" w:rsidRDefault="00F2180D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Questo meccanismo </w:t>
      </w:r>
      <w:r w:rsidR="00A32059">
        <w:rPr>
          <w:rFonts w:ascii="inherit" w:eastAsia="Times New Roman" w:hAnsi="inherit" w:cs="Times New Roman"/>
          <w:color w:val="000000"/>
        </w:rPr>
        <w:t>genera delle criticità</w:t>
      </w:r>
      <w:r>
        <w:rPr>
          <w:rFonts w:ascii="inherit" w:eastAsia="Times New Roman" w:hAnsi="inherit" w:cs="Times New Roman"/>
          <w:color w:val="000000"/>
        </w:rPr>
        <w:t>: una programmazione</w:t>
      </w:r>
      <w:r w:rsidR="00B55A9A">
        <w:rPr>
          <w:rFonts w:ascii="inherit" w:eastAsia="Times New Roman" w:hAnsi="inherit" w:cs="Times New Roman"/>
          <w:color w:val="000000"/>
        </w:rPr>
        <w:t xml:space="preserve"> che metta in corrispondenza i bisogni di salute dei pazienti con i soldi a disposizione; il controllo della spesa pubblica e </w:t>
      </w:r>
      <w:r w:rsidR="00B55A9A">
        <w:rPr>
          <w:rFonts w:ascii="inherit" w:eastAsia="Times New Roman" w:hAnsi="inherit" w:cs="Times New Roman"/>
          <w:color w:val="000000"/>
        </w:rPr>
        <w:lastRenderedPageBreak/>
        <w:t>l</w:t>
      </w:r>
      <w:r w:rsidR="00B55A9A">
        <w:rPr>
          <w:rFonts w:ascii="inherit" w:eastAsia="Times New Roman" w:hAnsi="inherit" w:cs="Times New Roman" w:hint="eastAsia"/>
          <w:color w:val="000000"/>
        </w:rPr>
        <w:t>’</w:t>
      </w:r>
      <w:r w:rsidR="00B55A9A">
        <w:rPr>
          <w:rFonts w:ascii="inherit" w:eastAsia="Times New Roman" w:hAnsi="inherit" w:cs="Times New Roman"/>
          <w:color w:val="000000"/>
        </w:rPr>
        <w:t xml:space="preserve">appropriatezza degli interventi. </w:t>
      </w:r>
      <w:r w:rsidR="00A32059">
        <w:rPr>
          <w:rFonts w:ascii="inherit" w:eastAsia="Times New Roman" w:hAnsi="inherit" w:cs="Times New Roman"/>
          <w:color w:val="000000"/>
        </w:rPr>
        <w:t>Criticità</w:t>
      </w:r>
      <w:r w:rsidR="00B55A9A">
        <w:rPr>
          <w:rFonts w:ascii="inherit" w:eastAsia="Times New Roman" w:hAnsi="inherit" w:cs="Times New Roman"/>
          <w:color w:val="000000"/>
        </w:rPr>
        <w:t xml:space="preserve"> che, purtroppo, incidono anche sulle casse dei Fondi sanitari integrativi, come il Fasi, che se non affrontati in fretta, potrebbero mettere a rischio la loro stessa sostenibilità economica. Nel frattempo e, in attesa, che tutta la materia sia in qualche modo riformata e resa compatibile con i tempi attuali, ci impegniamo come Fasi a continuare a fornire al meglio delle nostre possibilità, il servizio che già garantiamo ai nostri iscritti, in cambio chiediamo una maggiore autodisciplina </w:t>
      </w:r>
      <w:r w:rsidR="00DE3374">
        <w:rPr>
          <w:rFonts w:ascii="inherit" w:eastAsia="Times New Roman" w:hAnsi="inherit" w:cs="Times New Roman"/>
          <w:color w:val="000000"/>
        </w:rPr>
        <w:t xml:space="preserve">e razionalità nella scelta delle prestazioni sanitarie, diagnostiche e terapeutiche. </w:t>
      </w:r>
      <w:r w:rsidR="00A32059">
        <w:rPr>
          <w:rFonts w:ascii="inherit" w:eastAsia="Times New Roman" w:hAnsi="inherit" w:cs="Times New Roman"/>
          <w:color w:val="000000"/>
        </w:rPr>
        <w:t xml:space="preserve">La sostenibilità del Fondo, dipende dai comportamenti responsabili e appropriati di tutti noi. </w:t>
      </w:r>
      <w:r w:rsidR="00DE3374">
        <w:rPr>
          <w:rFonts w:ascii="inherit" w:eastAsia="Times New Roman" w:hAnsi="inherit" w:cs="Times New Roman"/>
          <w:color w:val="000000"/>
        </w:rPr>
        <w:t>Il nostro obiettivo resta sempre lo stesso: la salute dei nostri iscritti prima di tutto. Facciamo in modo che quest</w:t>
      </w:r>
      <w:r w:rsidR="00DE3374">
        <w:rPr>
          <w:rFonts w:ascii="inherit" w:eastAsia="Times New Roman" w:hAnsi="inherit" w:cs="Times New Roman" w:hint="eastAsia"/>
          <w:color w:val="000000"/>
        </w:rPr>
        <w:t>’</w:t>
      </w:r>
      <w:r w:rsidR="00DE3374">
        <w:rPr>
          <w:rFonts w:ascii="inherit" w:eastAsia="Times New Roman" w:hAnsi="inherit" w:cs="Times New Roman"/>
          <w:color w:val="000000"/>
        </w:rPr>
        <w:t>impegno resti possibile.</w:t>
      </w:r>
    </w:p>
    <w:p w14:paraId="6B271A22" w14:textId="77777777" w:rsidR="00153E16" w:rsidRDefault="00153E16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</w:p>
    <w:p w14:paraId="56228203" w14:textId="01D7E4B5" w:rsidR="00153E16" w:rsidRDefault="00153E16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Presidente Fasi</w:t>
      </w:r>
    </w:p>
    <w:p w14:paraId="04E28A14" w14:textId="526D9326" w:rsidR="00153E16" w:rsidRDefault="00153E16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Marcello Garzia</w:t>
      </w:r>
      <w:bookmarkStart w:id="0" w:name="_GoBack"/>
      <w:bookmarkEnd w:id="0"/>
    </w:p>
    <w:p w14:paraId="1D57072D" w14:textId="77777777" w:rsidR="00BD02BF" w:rsidRDefault="00BD02BF" w:rsidP="00BD02BF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</w:p>
    <w:p w14:paraId="614D4F35" w14:textId="77777777" w:rsidR="00F2180D" w:rsidRDefault="00F2180D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</w:p>
    <w:p w14:paraId="6DE48582" w14:textId="77777777" w:rsidR="00162312" w:rsidRPr="00777CEA" w:rsidRDefault="00A06771" w:rsidP="00E44270">
      <w:pPr>
        <w:spacing w:line="540" w:lineRule="atLeast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 xml:space="preserve"> </w:t>
      </w:r>
    </w:p>
    <w:p w14:paraId="72E2C396" w14:textId="77777777" w:rsidR="00777CEA" w:rsidRPr="00777CEA" w:rsidRDefault="00777CEA" w:rsidP="00777CEA">
      <w:pPr>
        <w:spacing w:line="420" w:lineRule="atLeast"/>
        <w:textAlignment w:val="baseline"/>
        <w:rPr>
          <w:rFonts w:ascii="inherit" w:eastAsia="Times New Roman" w:hAnsi="inherit" w:cs="Times New Roman"/>
          <w:sz w:val="30"/>
          <w:szCs w:val="30"/>
        </w:rPr>
      </w:pPr>
      <w:r>
        <w:rPr>
          <w:rFonts w:ascii="inherit" w:eastAsia="Times New Roman" w:hAnsi="inherit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54177B95" wp14:editId="23ECF685">
                <wp:extent cx="304800" cy="304800"/>
                <wp:effectExtent l="0" t="0" r="0" b="0"/>
                <wp:docPr id="6" name="AutoShape 4" descr="https://images2.corriereobjects.it/infografiche/2018/dataroom/sanita-prestazioni/01_Calo_Italia_DES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CB3A6" id="AutoShape 4" o:spid="_x0000_s1026" alt="https://images2.corriereobjects.it/infografiche/2018/dataroom/sanita-prestazioni/01_Calo_Italia_DES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9PDnnjgIAALQEAAAOAAAAAAAAAAAAAAAAAC4CAABkcnMvZTJvRG9jLnhtbFBLAQItABQABgAI&#10;AAAAIQBMoOks2AAAAAMBAAAPAAAAAAAAAAAAAAAAAOgEAABkcnMvZG93bnJldi54bWxQSwUGAAAA&#10;AAQABADzAAAA7QUAAAAA&#10;" filled="f" stroked="f">
                <o:lock v:ext="edit" aspectratio="t"/>
                <w10:anchorlock/>
              </v:rect>
            </w:pict>
          </mc:Fallback>
        </mc:AlternateContent>
      </w:r>
    </w:p>
    <w:p w14:paraId="007638F9" w14:textId="77777777" w:rsidR="00777CEA" w:rsidRPr="00777CEA" w:rsidRDefault="00777CEA" w:rsidP="00777CEA">
      <w:pPr>
        <w:spacing w:line="420" w:lineRule="atLeast"/>
        <w:textAlignment w:val="baseline"/>
        <w:rPr>
          <w:rFonts w:ascii="inherit" w:eastAsia="Times New Roman" w:hAnsi="inherit" w:cs="Times New Roman"/>
          <w:sz w:val="30"/>
          <w:szCs w:val="30"/>
        </w:rPr>
      </w:pPr>
      <w:r>
        <w:rPr>
          <w:rFonts w:ascii="inherit" w:eastAsia="Times New Roman" w:hAnsi="inherit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54BA1BAA" wp14:editId="02C43050">
                <wp:extent cx="304800" cy="304800"/>
                <wp:effectExtent l="0" t="0" r="0" b="0"/>
                <wp:docPr id="5" name="AutoShape 5" descr="https://images2.corriereobjects.it/infografiche/2018/dataroom/sanita-prestazioni/03_attesa_DES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7DCA9" id="AutoShape 5" o:spid="_x0000_s1026" alt="https://images2.corriereobjects.it/infografiche/2018/dataroom/sanita-prestazioni/03_attesa_DES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9+W&#10;h4kCAACvBAAADgAAAAAAAAAAAAAAAAAuAgAAZHJzL2Uyb0RvYy54bWxQSwECLQAUAAYACAAAACEA&#10;TKDpLNgAAAADAQAADwAAAAAAAAAAAAAAAADjBAAAZHJzL2Rvd25yZXYueG1sUEsFBgAAAAAEAAQA&#10;8wAAAOgFAAAAAA==&#10;" filled="f" stroked="f">
                <o:lock v:ext="edit" aspectratio="t"/>
                <w10:anchorlock/>
              </v:rect>
            </w:pict>
          </mc:Fallback>
        </mc:AlternateContent>
      </w:r>
    </w:p>
    <w:p w14:paraId="52745616" w14:textId="77777777" w:rsidR="0090427C" w:rsidRDefault="0090427C"/>
    <w:sectPr w:rsidR="0090427C" w:rsidSect="00F476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6FA"/>
    <w:multiLevelType w:val="multilevel"/>
    <w:tmpl w:val="FFE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6C62"/>
    <w:multiLevelType w:val="multilevel"/>
    <w:tmpl w:val="54A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90F17"/>
    <w:multiLevelType w:val="multilevel"/>
    <w:tmpl w:val="3DA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925FA"/>
    <w:multiLevelType w:val="multilevel"/>
    <w:tmpl w:val="611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024A8"/>
    <w:multiLevelType w:val="multilevel"/>
    <w:tmpl w:val="1A2E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07714"/>
    <w:multiLevelType w:val="multilevel"/>
    <w:tmpl w:val="2D2C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A070A"/>
    <w:multiLevelType w:val="multilevel"/>
    <w:tmpl w:val="79D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A"/>
    <w:rsid w:val="0008692D"/>
    <w:rsid w:val="00153E16"/>
    <w:rsid w:val="00162312"/>
    <w:rsid w:val="00777CEA"/>
    <w:rsid w:val="0090427C"/>
    <w:rsid w:val="00A06771"/>
    <w:rsid w:val="00A32059"/>
    <w:rsid w:val="00B55A9A"/>
    <w:rsid w:val="00BD02BF"/>
    <w:rsid w:val="00DE3374"/>
    <w:rsid w:val="00E44270"/>
    <w:rsid w:val="00E80945"/>
    <w:rsid w:val="00F2180D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B5DFE"/>
  <w14:defaultImageDpi w14:val="300"/>
  <w15:docId w15:val="{C7348E53-34C2-462E-9DD5-0A3C238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7CE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77CE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olo5">
    <w:name w:val="heading 5"/>
    <w:basedOn w:val="Normale"/>
    <w:link w:val="Titolo5Carattere"/>
    <w:uiPriority w:val="9"/>
    <w:qFormat/>
    <w:rsid w:val="00777CEA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7CE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7CEA"/>
    <w:rPr>
      <w:rFonts w:ascii="Times New Roman" w:hAnsi="Times New Roman" w:cs="Times New Roman"/>
      <w:b/>
      <w:bCs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77CEA"/>
    <w:rPr>
      <w:rFonts w:ascii="Times New Roman" w:hAnsi="Times New Roman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77CEA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77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77CE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77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77CEA"/>
    <w:rPr>
      <w:rFonts w:ascii="Arial" w:hAnsi="Arial" w:cs="Arial"/>
      <w:vanish/>
      <w:sz w:val="16"/>
      <w:szCs w:val="16"/>
    </w:rPr>
  </w:style>
  <w:style w:type="character" w:customStyle="1" w:styleId="autore">
    <w:name w:val="autore"/>
    <w:basedOn w:val="Carpredefinitoparagrafo"/>
    <w:rsid w:val="00777CEA"/>
  </w:style>
  <w:style w:type="character" w:customStyle="1" w:styleId="shareamount">
    <w:name w:val="shareamount"/>
    <w:basedOn w:val="Carpredefinitoparagrafo"/>
    <w:rsid w:val="00777CEA"/>
  </w:style>
  <w:style w:type="paragraph" w:customStyle="1" w:styleId="chapter-paragraph">
    <w:name w:val="chapter-paragraph"/>
    <w:basedOn w:val="Normale"/>
    <w:rsid w:val="00777C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2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single" w:sz="6" w:space="15" w:color="6E7788"/>
              </w:divBdr>
            </w:div>
            <w:div w:id="947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406940">
              <w:marLeft w:val="12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0104">
              <w:marLeft w:val="12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48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289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264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484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333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8178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02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78646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2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629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041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117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428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84435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7652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4905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chiavazzo 3</dc:creator>
  <cp:keywords/>
  <dc:description/>
  <cp:lastModifiedBy>Valentina VM. Morgia</cp:lastModifiedBy>
  <cp:revision>3</cp:revision>
  <cp:lastPrinted>2018-11-08T11:20:00Z</cp:lastPrinted>
  <dcterms:created xsi:type="dcterms:W3CDTF">2018-11-09T10:06:00Z</dcterms:created>
  <dcterms:modified xsi:type="dcterms:W3CDTF">2018-11-09T10:10:00Z</dcterms:modified>
</cp:coreProperties>
</file>