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C0" w:rsidRDefault="005B6AC0" w:rsidP="00DA4815">
      <w:pPr>
        <w:tabs>
          <w:tab w:val="left" w:pos="709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3667125" cy="981075"/>
            <wp:effectExtent l="0" t="0" r="9525" b="9525"/>
            <wp:docPr id="3" name="Immagine 3" descr="C:\Users\Admin\Desktop\foto dello studio per il sit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o dello studio per il sit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26756749" wp14:editId="14B015DC">
            <wp:extent cx="3333750" cy="1571625"/>
            <wp:effectExtent l="0" t="0" r="0" b="9525"/>
            <wp:docPr id="2" name="Immagine 2" descr="Risultati immagini per D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DEN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86" cy="15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C0" w:rsidRPr="005B6AC0" w:rsidRDefault="005B6AC0" w:rsidP="005B6AC0"/>
    <w:p w:rsidR="005B6AC0" w:rsidRPr="005B6AC0" w:rsidRDefault="005B6AC0" w:rsidP="005B6AC0"/>
    <w:p w:rsidR="005B6AC0" w:rsidRDefault="005B6AC0" w:rsidP="005B6AC0">
      <w:pPr>
        <w:pStyle w:val="Citazioneintensa"/>
        <w:ind w:left="0"/>
        <w:jc w:val="center"/>
        <w:rPr>
          <w:sz w:val="48"/>
          <w:szCs w:val="48"/>
        </w:rPr>
      </w:pPr>
      <w:r w:rsidRPr="005B6AC0">
        <w:rPr>
          <w:sz w:val="48"/>
          <w:szCs w:val="48"/>
        </w:rPr>
        <w:t>Campagna di prevenzione tumori del cavo orale</w:t>
      </w:r>
    </w:p>
    <w:p w:rsidR="00016BA6" w:rsidRDefault="005B6AC0" w:rsidP="00DA4815">
      <w:pPr>
        <w:pStyle w:val="Titolo1"/>
        <w:numPr>
          <w:ilvl w:val="0"/>
          <w:numId w:val="1"/>
        </w:numPr>
        <w:ind w:left="142"/>
        <w:rPr>
          <w:b w:val="0"/>
          <w:color w:val="7030A0"/>
          <w:sz w:val="32"/>
        </w:rPr>
      </w:pPr>
      <w:r w:rsidRPr="00954E41">
        <w:rPr>
          <w:i/>
          <w:color w:val="7030A0"/>
          <w:sz w:val="36"/>
          <w:u w:val="single"/>
        </w:rPr>
        <w:t>Cavo Orale</w:t>
      </w:r>
      <w:r w:rsidR="00954E41" w:rsidRPr="00DA4815">
        <w:rPr>
          <w:i/>
          <w:color w:val="7030A0"/>
          <w:sz w:val="36"/>
          <w:u w:val="single"/>
        </w:rPr>
        <w:t xml:space="preserve">:     </w:t>
      </w:r>
      <w:r w:rsidR="00954E41" w:rsidRPr="00DA4815">
        <w:rPr>
          <w:b w:val="0"/>
          <w:color w:val="7030A0"/>
          <w:sz w:val="32"/>
        </w:rPr>
        <w:t>Lingua, Gengive, Guance, Pavimento orale, Palato</w:t>
      </w:r>
      <w:r w:rsidR="00954E41" w:rsidRPr="00954E41">
        <w:rPr>
          <w:b w:val="0"/>
          <w:color w:val="7030A0"/>
          <w:sz w:val="32"/>
        </w:rPr>
        <w:t>, Labbra</w:t>
      </w:r>
    </w:p>
    <w:p w:rsidR="00954E41" w:rsidRDefault="00954E41" w:rsidP="00954E41"/>
    <w:p w:rsidR="00527CA1" w:rsidRDefault="00954E41" w:rsidP="00DA4815">
      <w:pPr>
        <w:pStyle w:val="Paragrafoelenco"/>
        <w:numPr>
          <w:ilvl w:val="0"/>
          <w:numId w:val="1"/>
        </w:numPr>
        <w:ind w:left="0"/>
        <w:jc w:val="left"/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</w:pPr>
      <w:r w:rsidRPr="00954E41"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>Fattori di rischio del carcinoma</w:t>
      </w:r>
      <w:r w:rsidRPr="00954E41">
        <w:rPr>
          <w:rFonts w:asciiTheme="majorHAnsi" w:eastAsiaTheme="majorEastAsia" w:hAnsiTheme="majorHAnsi" w:cstheme="majorBidi"/>
          <w:bCs/>
          <w:color w:val="7030A0"/>
          <w:sz w:val="36"/>
          <w:szCs w:val="28"/>
        </w:rPr>
        <w:t xml:space="preserve">: </w:t>
      </w:r>
      <w:r w:rsidRPr="00954E41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>Fumo</w:t>
      </w:r>
      <w:r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>, Abuso di alcool, Scarsa igiene</w:t>
      </w:r>
      <w:r w:rsidRPr="00954E41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 xml:space="preserve"> orale, Infezione da Papilloma</w:t>
      </w:r>
      <w:r w:rsidR="001F1E0A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 xml:space="preserve">  </w:t>
      </w:r>
      <w:bookmarkStart w:id="0" w:name="_GoBack"/>
      <w:bookmarkEnd w:id="0"/>
      <w:r w:rsidRPr="00954E41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>virus</w:t>
      </w:r>
      <w:r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 xml:space="preserve"> </w:t>
      </w:r>
      <w:r w:rsidR="00527CA1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>(HPV), Il lichen, Microtraumi della mucosa dovuta a protesi, dieta povera di frutta.</w:t>
      </w:r>
    </w:p>
    <w:p w:rsidR="00527CA1" w:rsidRPr="00527CA1" w:rsidRDefault="00527CA1" w:rsidP="00527CA1">
      <w:pPr>
        <w:pStyle w:val="Paragrafoelenco"/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</w:pPr>
    </w:p>
    <w:p w:rsidR="00954E41" w:rsidRDefault="00527CA1" w:rsidP="00DA4815">
      <w:pPr>
        <w:pStyle w:val="Paragrafoelenco"/>
        <w:numPr>
          <w:ilvl w:val="0"/>
          <w:numId w:val="1"/>
        </w:numPr>
        <w:ind w:left="0"/>
        <w:jc w:val="left"/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</w:pPr>
      <w:r w:rsidRPr="00527CA1"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>Incidenza in Italia</w:t>
      </w:r>
      <w:r w:rsidRPr="00DA4815"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>: Molto alta dai 4 ai 12 nuovi casi per 100.000 abitanti</w:t>
      </w:r>
    </w:p>
    <w:p w:rsidR="00527CA1" w:rsidRPr="00527CA1" w:rsidRDefault="00527CA1" w:rsidP="00527CA1">
      <w:pPr>
        <w:pStyle w:val="Paragrafoelenco"/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</w:pPr>
    </w:p>
    <w:p w:rsidR="00DA4815" w:rsidRPr="00DA4815" w:rsidRDefault="00527CA1" w:rsidP="00DA4815">
      <w:pPr>
        <w:pStyle w:val="Paragrafoelenco"/>
        <w:numPr>
          <w:ilvl w:val="0"/>
          <w:numId w:val="1"/>
        </w:numPr>
        <w:ind w:left="-142"/>
        <w:jc w:val="center"/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>Prevenzione</w:t>
      </w:r>
      <w:r>
        <w:rPr>
          <w:rFonts w:asciiTheme="majorHAnsi" w:eastAsiaTheme="majorEastAsia" w:hAnsiTheme="majorHAnsi" w:cstheme="majorBidi"/>
          <w:bCs/>
          <w:color w:val="7030A0"/>
          <w:sz w:val="36"/>
          <w:szCs w:val="28"/>
        </w:rPr>
        <w:t xml:space="preserve">: </w:t>
      </w:r>
      <w:r w:rsidRPr="00527CA1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>Ai soggetti con fattore di rischio, si raccomandano visite specialistiche mantenendo un corretto stile di vita</w:t>
      </w:r>
    </w:p>
    <w:p w:rsidR="00DA4815" w:rsidRPr="00DA4815" w:rsidRDefault="00DA4815" w:rsidP="00DA4815">
      <w:pPr>
        <w:pStyle w:val="Paragrafoelenco"/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</w:pPr>
    </w:p>
    <w:p w:rsidR="00954E41" w:rsidRPr="00DA4815" w:rsidRDefault="00527CA1" w:rsidP="00DA4815">
      <w:pPr>
        <w:pStyle w:val="Paragrafoelenco"/>
        <w:numPr>
          <w:ilvl w:val="0"/>
          <w:numId w:val="1"/>
        </w:numPr>
        <w:ind w:left="-284"/>
        <w:jc w:val="center"/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</w:pPr>
      <w:r w:rsidRPr="00DA4815"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>Diagnosi Precoce</w:t>
      </w:r>
      <w:r w:rsidR="00DA4815" w:rsidRPr="00DA4815"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 xml:space="preserve">: </w:t>
      </w:r>
      <w:r w:rsidR="007B5D66">
        <w:rPr>
          <w:rFonts w:asciiTheme="majorHAnsi" w:eastAsiaTheme="majorEastAsia" w:hAnsiTheme="majorHAnsi" w:cstheme="majorBidi"/>
          <w:b/>
          <w:bCs/>
          <w:i/>
          <w:color w:val="7030A0"/>
          <w:sz w:val="36"/>
          <w:szCs w:val="28"/>
          <w:u w:val="single"/>
        </w:rPr>
        <w:t xml:space="preserve"> </w:t>
      </w:r>
      <w:r w:rsidR="00DA4815" w:rsidRPr="00DA4815">
        <w:rPr>
          <w:rFonts w:asciiTheme="majorHAnsi" w:eastAsiaTheme="majorEastAsia" w:hAnsiTheme="majorHAnsi" w:cstheme="majorBidi"/>
          <w:bCs/>
          <w:color w:val="7030A0"/>
          <w:sz w:val="32"/>
          <w:szCs w:val="28"/>
        </w:rPr>
        <w:t>Sottoporsi ad uno screening anamnestico con un affermato specialista, si valuterà se sarà necessario ricorrere ad approfondimenti diagnostici (biopsia) consentendo una chirurgia di conservativa</w:t>
      </w:r>
    </w:p>
    <w:sectPr w:rsidR="00954E41" w:rsidRPr="00DA4815" w:rsidSect="00DA4815">
      <w:pgSz w:w="16838" w:h="11906" w:orient="landscape"/>
      <w:pgMar w:top="284" w:right="25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8F9"/>
    <w:multiLevelType w:val="hybridMultilevel"/>
    <w:tmpl w:val="DACC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0"/>
    <w:rsid w:val="00016BA6"/>
    <w:rsid w:val="001F1E0A"/>
    <w:rsid w:val="003D59D0"/>
    <w:rsid w:val="00527CA1"/>
    <w:rsid w:val="005B6AC0"/>
    <w:rsid w:val="007B5D66"/>
    <w:rsid w:val="00954E41"/>
    <w:rsid w:val="00D030CA"/>
    <w:rsid w:val="00D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C0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6A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6AC0"/>
    <w:rPr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5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C0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6A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6AC0"/>
    <w:rPr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5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2019-03-20T17:12:00Z</dcterms:created>
  <dcterms:modified xsi:type="dcterms:W3CDTF">2019-03-25T15:34:00Z</dcterms:modified>
</cp:coreProperties>
</file>