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23E" w:rsidRPr="005C6294" w:rsidRDefault="004D655A">
      <w:pPr>
        <w:rPr>
          <w:rFonts w:ascii="Arial Black" w:hAnsi="Arial Black"/>
          <w:b/>
          <w:bCs/>
        </w:rPr>
      </w:pPr>
      <w:r w:rsidRPr="005C6294">
        <w:rPr>
          <w:rFonts w:ascii="Arial Black" w:hAnsi="Arial Black"/>
          <w:b/>
          <w:bCs/>
        </w:rPr>
        <w:t>COMUNICAZIONE ed INGORMAZIONI per i Seniores di Federmanager SALERNO</w:t>
      </w:r>
    </w:p>
    <w:p w:rsidR="004D655A" w:rsidRDefault="004D655A">
      <w:r>
        <w:t>Dicembre 2019</w:t>
      </w:r>
    </w:p>
    <w:p w:rsidR="004D655A" w:rsidRDefault="004D655A">
      <w:r>
        <w:t>Articoli riguardanti argomento Pensioni</w:t>
      </w:r>
    </w:p>
    <w:p w:rsidR="004D655A" w:rsidRPr="004D655A" w:rsidRDefault="004D655A" w:rsidP="004D655A">
      <w:pPr>
        <w:spacing w:before="100" w:beforeAutospacing="1" w:after="100" w:afterAutospacing="1" w:line="240" w:lineRule="auto"/>
        <w:outlineLvl w:val="1"/>
        <w:rPr>
          <w:rFonts w:ascii="Times New Roman" w:eastAsia="Times New Roman" w:hAnsi="Times New Roman" w:cs="Times New Roman"/>
          <w:b/>
          <w:bCs/>
          <w:color w:val="002060"/>
          <w:sz w:val="36"/>
          <w:szCs w:val="36"/>
          <w:u w:val="single"/>
          <w:lang w:eastAsia="it-IT"/>
        </w:rPr>
      </w:pPr>
      <w:r w:rsidRPr="004D655A">
        <w:rPr>
          <w:rFonts w:ascii="Times New Roman" w:eastAsia="Times New Roman" w:hAnsi="Times New Roman" w:cs="Times New Roman"/>
          <w:b/>
          <w:bCs/>
          <w:color w:val="002060"/>
          <w:sz w:val="36"/>
          <w:szCs w:val="36"/>
          <w:u w:val="single"/>
          <w:lang w:eastAsia="it-IT"/>
        </w:rPr>
        <w:t>Finalmente una buona notizia sulle pensioni!</w:t>
      </w:r>
    </w:p>
    <w:p w:rsidR="004D655A" w:rsidRPr="004D655A" w:rsidRDefault="004D655A" w:rsidP="004D655A">
      <w:p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La sequenza ininterrotta di provvedimenti che hanno sistematicamente compresso e talora del tutto escluso la perequazione dei trattamenti pensionistici di maggior importo è posta in discussione dall'ordinanza della Corte dei Conti del Friuli Venezia Giulia n. 6 del 17 ottobre 2019.</w:t>
      </w:r>
    </w:p>
    <w:p w:rsidR="004D655A" w:rsidRPr="004D655A" w:rsidRDefault="004D655A" w:rsidP="005C6294">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noProof/>
          <w:sz w:val="24"/>
          <w:szCs w:val="24"/>
          <w:lang w:eastAsia="it-IT"/>
        </w:rPr>
        <w:drawing>
          <wp:anchor distT="0" distB="0" distL="114300" distR="114300" simplePos="0" relativeHeight="251658240" behindDoc="0" locked="0" layoutInCell="1" allowOverlap="1" wp14:anchorId="660A6D0F">
            <wp:simplePos x="0" y="0"/>
            <wp:positionH relativeFrom="column">
              <wp:posOffset>3810</wp:posOffset>
            </wp:positionH>
            <wp:positionV relativeFrom="paragraph">
              <wp:posOffset>-4445</wp:posOffset>
            </wp:positionV>
            <wp:extent cx="3060727" cy="2028825"/>
            <wp:effectExtent l="0" t="0" r="6350" b="0"/>
            <wp:wrapSquare wrapText="bothSides"/>
            <wp:docPr id="3" name="Immagin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727" cy="2028825"/>
                    </a:xfrm>
                    <a:prstGeom prst="rect">
                      <a:avLst/>
                    </a:prstGeom>
                    <a:noFill/>
                    <a:ln>
                      <a:noFill/>
                    </a:ln>
                  </pic:spPr>
                </pic:pic>
              </a:graphicData>
            </a:graphic>
          </wp:anchor>
        </w:drawing>
      </w:r>
      <w:r w:rsidRPr="004D655A">
        <w:rPr>
          <w:rFonts w:ascii="Times New Roman" w:eastAsia="Times New Roman" w:hAnsi="Times New Roman" w:cs="Times New Roman"/>
          <w:b/>
          <w:bCs/>
          <w:sz w:val="24"/>
          <w:szCs w:val="24"/>
          <w:lang w:eastAsia="it-IT"/>
        </w:rPr>
        <w:t>Mino Schianchi</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i/>
          <w:iCs/>
          <w:sz w:val="24"/>
          <w:szCs w:val="24"/>
          <w:lang w:eastAsia="it-IT"/>
        </w:rPr>
        <w:t>Presidente Comitato Nazionale di Coordinamento dei Gruppi Pensionati e Vicepresidente ALDAI-Federmanager</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Con l’ordinanza 17 ottobre 2019, n. 6, la Corte dei Conti del Friuli Venezia Giulia ha rimesso al giudizio della Consulta l’art. 1, commi 260 -269 della l. n. 145 del 2018. Ha rilevato che i provvedimenti legislativi in questione non rispettano i tre fondamentali principi posti dalla Corte Costituzionale in tema di previdenza: ragionevolezza, adeguatezza, affidamento.</w:t>
      </w:r>
    </w:p>
    <w:p w:rsidR="004D655A" w:rsidRPr="004D655A" w:rsidRDefault="004D655A" w:rsidP="004D655A">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4D655A">
        <w:rPr>
          <w:rFonts w:ascii="Times New Roman" w:eastAsia="Times New Roman" w:hAnsi="Times New Roman" w:cs="Times New Roman"/>
          <w:b/>
          <w:bCs/>
          <w:sz w:val="27"/>
          <w:szCs w:val="27"/>
          <w:lang w:eastAsia="it-IT"/>
        </w:rPr>
        <w:t>Finalmente una buona notizia!   Ma negli ultimi 10 anni quante delusioni abbiamo subito!</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A partire dal 1995, in Italia sono state approvate diverse riforme della previdenza che hanno cambiato completamente il sistema di calcolo, di finanziamento, i limiti di età e i criteri del pensionamento allo scopo di rendere il sistema pensionistico sostenibile. Ma i punti critici del sistema riguardavano e riguardano la mancata copertura dei contributi sociali dei costi complessivi delle pensioni, al lordo del carico fiscale.  Per coprire quei costi occorre attingere a un pezzo di Irpef.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Gran parte della differenza tra entrate e uscite del Bilancio INPS dipende dal fatto che la spesa previdenziale include una quota significativa di spesa che ha natura assistenziale. Va tenuto conto che vi sono diverse prestazioni assistenziali erogate dall’INPS a persone in condizioni di maggior disagio economico: integrazioni al minimo, pensioni sociali, maggiorazioni sociali, ecc.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xml:space="preserve">Sarebbe importante, allora, </w:t>
      </w:r>
      <w:r w:rsidRPr="004D655A">
        <w:rPr>
          <w:rFonts w:ascii="Times New Roman" w:eastAsia="Times New Roman" w:hAnsi="Times New Roman" w:cs="Times New Roman"/>
          <w:b/>
          <w:bCs/>
          <w:sz w:val="24"/>
          <w:szCs w:val="24"/>
          <w:lang w:eastAsia="it-IT"/>
        </w:rPr>
        <w:t>separare la spesa per l’assistenza da quella per la previdenza</w:t>
      </w:r>
      <w:r w:rsidRPr="004D655A">
        <w:rPr>
          <w:rFonts w:ascii="Times New Roman" w:eastAsia="Times New Roman" w:hAnsi="Times New Roman" w:cs="Times New Roman"/>
          <w:sz w:val="24"/>
          <w:szCs w:val="24"/>
          <w:lang w:eastAsia="it-IT"/>
        </w:rPr>
        <w:t>. Una lunga battaglia: ma le nostre proposte, da tempo avanzate, stentano a trovare qualche accoglimento.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In tale contesto, le politiche “</w:t>
      </w:r>
      <w:r w:rsidRPr="004D655A">
        <w:rPr>
          <w:rFonts w:ascii="Times New Roman" w:eastAsia="Times New Roman" w:hAnsi="Times New Roman" w:cs="Times New Roman"/>
          <w:b/>
          <w:bCs/>
          <w:sz w:val="24"/>
          <w:szCs w:val="24"/>
          <w:lang w:eastAsia="it-IT"/>
        </w:rPr>
        <w:t>punitive</w:t>
      </w:r>
      <w:r w:rsidRPr="004D655A">
        <w:rPr>
          <w:rFonts w:ascii="Times New Roman" w:eastAsia="Times New Roman" w:hAnsi="Times New Roman" w:cs="Times New Roman"/>
          <w:sz w:val="24"/>
          <w:szCs w:val="24"/>
          <w:lang w:eastAsia="it-IT"/>
        </w:rPr>
        <w:t xml:space="preserve">” attuate, attraverso riduzione della perequazione e contributi di solidarietà, nei confronti delle pensioni medio-alte sono diventate una costante di tutti i Governi, senza che nessuno si sia preoccupato di aumentare la copertura del sistema pensionistico, di ridurre l’accesso (abusivo) a benefit di natura assistenziale e di anticipo del pensionamento.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xml:space="preserve">Federmanager e CIDA hanno svolto un ruolo fondamentale in difesa dei nostri diritti e interessi presso le forze politiche e di Governo, ma la resistenza messa in atto dalle nostre Rappresentanze ha </w:t>
      </w:r>
      <w:r w:rsidRPr="004D655A">
        <w:rPr>
          <w:rFonts w:ascii="Times New Roman" w:eastAsia="Times New Roman" w:hAnsi="Times New Roman" w:cs="Times New Roman"/>
          <w:sz w:val="24"/>
          <w:szCs w:val="24"/>
          <w:lang w:eastAsia="it-IT"/>
        </w:rPr>
        <w:lastRenderedPageBreak/>
        <w:t xml:space="preserve">potuto solo contenere i danni.  Dal 2012, in parallelo ad un’intensa attività di comunicazione e di incontri con il mondo della politica per rivendicare le proprie ragioni, le nostre Rappresentanze hanno deciso d’intraprendere le vie giudiziarie a sostegno delle pensioni medio-alte. Le azioni che le nostre Organizzazioni hanno svolto e svolgono nei tribunali, prima ancora che volte al recupero di quanto viene sottratto alle pensioni, vanno intese come </w:t>
      </w:r>
      <w:r w:rsidRPr="004D655A">
        <w:rPr>
          <w:rFonts w:ascii="Times New Roman" w:eastAsia="Times New Roman" w:hAnsi="Times New Roman" w:cs="Times New Roman"/>
          <w:b/>
          <w:bCs/>
          <w:sz w:val="24"/>
          <w:szCs w:val="24"/>
          <w:lang w:eastAsia="it-IT"/>
        </w:rPr>
        <w:t>difesa dei diritti fondamentali della Costituzione</w:t>
      </w:r>
      <w:r w:rsidRPr="004D655A">
        <w:rPr>
          <w:rFonts w:ascii="Times New Roman" w:eastAsia="Times New Roman" w:hAnsi="Times New Roman" w:cs="Times New Roman"/>
          <w:sz w:val="24"/>
          <w:szCs w:val="24"/>
          <w:lang w:eastAsia="it-IT"/>
        </w:rPr>
        <w:t xml:space="preserve">; impegno sociale diretto al </w:t>
      </w:r>
      <w:r w:rsidRPr="004D655A">
        <w:rPr>
          <w:rFonts w:ascii="Times New Roman" w:eastAsia="Times New Roman" w:hAnsi="Times New Roman" w:cs="Times New Roman"/>
          <w:b/>
          <w:bCs/>
          <w:sz w:val="24"/>
          <w:szCs w:val="24"/>
          <w:lang w:eastAsia="it-IT"/>
        </w:rPr>
        <w:t>ripristino della fiducia nel rapporto Stato - cittadini</w:t>
      </w:r>
      <w:r w:rsidRPr="004D655A">
        <w:rPr>
          <w:rFonts w:ascii="Times New Roman" w:eastAsia="Times New Roman" w:hAnsi="Times New Roman" w:cs="Times New Roman"/>
          <w:sz w:val="24"/>
          <w:szCs w:val="24"/>
          <w:lang w:eastAsia="it-IT"/>
        </w:rPr>
        <w:t>.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xml:space="preserve">I principi che le  nostre Associazioni stanno difendendo sono: la ragionevolezza nella ricerca di un “equilibrio” fra le esigenze del pubblico bilancio e il </w:t>
      </w:r>
      <w:r w:rsidRPr="004D655A">
        <w:rPr>
          <w:rFonts w:ascii="Times New Roman" w:eastAsia="Times New Roman" w:hAnsi="Times New Roman" w:cs="Times New Roman"/>
          <w:b/>
          <w:bCs/>
          <w:sz w:val="24"/>
          <w:szCs w:val="24"/>
          <w:lang w:eastAsia="it-IT"/>
        </w:rPr>
        <w:t>rispetto dei diritti fondamentali del nostro ordinamento</w:t>
      </w:r>
      <w:r w:rsidRPr="004D655A">
        <w:rPr>
          <w:rFonts w:ascii="Times New Roman" w:eastAsia="Times New Roman" w:hAnsi="Times New Roman" w:cs="Times New Roman"/>
          <w:sz w:val="24"/>
          <w:szCs w:val="24"/>
          <w:lang w:eastAsia="it-IT"/>
        </w:rPr>
        <w:t xml:space="preserve">; l’affidamento nelle leggi dello Stato; la </w:t>
      </w:r>
      <w:r w:rsidRPr="004D655A">
        <w:rPr>
          <w:rFonts w:ascii="Times New Roman" w:eastAsia="Times New Roman" w:hAnsi="Times New Roman" w:cs="Times New Roman"/>
          <w:b/>
          <w:bCs/>
          <w:sz w:val="24"/>
          <w:szCs w:val="24"/>
          <w:lang w:eastAsia="it-IT"/>
        </w:rPr>
        <w:t>natura di retribuzione differita della pensione</w:t>
      </w:r>
      <w:r w:rsidRPr="004D655A">
        <w:rPr>
          <w:rFonts w:ascii="Times New Roman" w:eastAsia="Times New Roman" w:hAnsi="Times New Roman" w:cs="Times New Roman"/>
          <w:sz w:val="24"/>
          <w:szCs w:val="24"/>
          <w:lang w:eastAsia="it-IT"/>
        </w:rPr>
        <w:t>, che deve essere trattata fiscalmente come gli altri redditi; la proporzionalità ed adeguatezza dei trattamenti che vanno assicurati non solo all’atto della collocazione in pensione dei lavoratori, ma anche nel corso degli anni successivi, con gli adeguamenti delle prestazioni al variare del potere d'acquisto della moneta (perequazione).</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xml:space="preserve">I risultati delle azioni giudiziarie intentate sono stati inizialmente, per noi,  positivi (moniti e  pronunce favorevoli) ma poi, nel clima politico e sociale venutosi a creare, favorevole a scaricare sulle pensioni parte della spesa  per riequilibrare la distribuzione dei redditi e raddrizzare le condizioni finanziarie dell’INPS, le iniziali argomentazioni della Consulta, che difendevano la certezza del diritto e il legittimo affidamento a protezione dell’integrità dei trattamenti attribuiti, sono state via via </w:t>
      </w:r>
      <w:r w:rsidRPr="004D655A">
        <w:rPr>
          <w:rFonts w:ascii="Times New Roman" w:eastAsia="Times New Roman" w:hAnsi="Times New Roman" w:cs="Times New Roman"/>
          <w:b/>
          <w:bCs/>
          <w:sz w:val="24"/>
          <w:szCs w:val="24"/>
          <w:lang w:eastAsia="it-IT"/>
        </w:rPr>
        <w:t>annacquate</w:t>
      </w:r>
      <w:r w:rsidRPr="004D655A">
        <w:rPr>
          <w:rFonts w:ascii="Times New Roman" w:eastAsia="Times New Roman" w:hAnsi="Times New Roman" w:cs="Times New Roman"/>
          <w:sz w:val="24"/>
          <w:szCs w:val="24"/>
          <w:lang w:eastAsia="it-IT"/>
        </w:rPr>
        <w:t xml:space="preserve">, perfino </w:t>
      </w:r>
      <w:r w:rsidRPr="004D655A">
        <w:rPr>
          <w:rFonts w:ascii="Times New Roman" w:eastAsia="Times New Roman" w:hAnsi="Times New Roman" w:cs="Times New Roman"/>
          <w:b/>
          <w:bCs/>
          <w:sz w:val="24"/>
          <w:szCs w:val="24"/>
          <w:lang w:eastAsia="it-IT"/>
        </w:rPr>
        <w:t>contraddette</w:t>
      </w:r>
      <w:r w:rsidRPr="004D655A">
        <w:rPr>
          <w:rFonts w:ascii="Times New Roman" w:eastAsia="Times New Roman" w:hAnsi="Times New Roman" w:cs="Times New Roman"/>
          <w:sz w:val="24"/>
          <w:szCs w:val="24"/>
          <w:lang w:eastAsia="it-IT"/>
        </w:rPr>
        <w:t xml:space="preserve"> da pronunce successive. Vale la pena riferire alcuni dati.</w:t>
      </w:r>
    </w:p>
    <w:p w:rsidR="004D655A" w:rsidRPr="004D655A" w:rsidRDefault="004D655A" w:rsidP="004D655A">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4D655A">
        <w:rPr>
          <w:rFonts w:ascii="Times New Roman" w:eastAsia="Times New Roman" w:hAnsi="Times New Roman" w:cs="Times New Roman"/>
          <w:b/>
          <w:bCs/>
          <w:sz w:val="27"/>
          <w:szCs w:val="27"/>
          <w:lang w:eastAsia="it-IT"/>
        </w:rPr>
        <w:t>Cronologia delle sentenze.</w:t>
      </w:r>
    </w:p>
    <w:p w:rsidR="004D655A" w:rsidRPr="004D655A" w:rsidRDefault="004D655A" w:rsidP="004D655A">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5 giugno 2013</w:t>
      </w:r>
      <w:r w:rsidRPr="004D655A">
        <w:rPr>
          <w:rFonts w:ascii="Times New Roman" w:eastAsia="Times New Roman" w:hAnsi="Times New Roman" w:cs="Times New Roman"/>
          <w:sz w:val="24"/>
          <w:szCs w:val="24"/>
          <w:lang w:eastAsia="it-IT"/>
        </w:rPr>
        <w:t xml:space="preserve">.  Il </w:t>
      </w:r>
      <w:r w:rsidRPr="004D655A">
        <w:rPr>
          <w:rFonts w:ascii="Times New Roman" w:eastAsia="Times New Roman" w:hAnsi="Times New Roman" w:cs="Times New Roman"/>
          <w:b/>
          <w:bCs/>
          <w:sz w:val="24"/>
          <w:szCs w:val="24"/>
          <w:lang w:eastAsia="it-IT"/>
        </w:rPr>
        <w:t>contributo di solidarietà</w:t>
      </w:r>
      <w:r w:rsidRPr="004D655A">
        <w:rPr>
          <w:rFonts w:ascii="Times New Roman" w:eastAsia="Times New Roman" w:hAnsi="Times New Roman" w:cs="Times New Roman"/>
          <w:sz w:val="24"/>
          <w:szCs w:val="24"/>
          <w:lang w:eastAsia="it-IT"/>
        </w:rPr>
        <w:t xml:space="preserve">, istituito il 6 luglio 2011, è giudicato illegittimo con sentenza della Corte Costituzionale n°.116/2013 perché </w:t>
      </w:r>
      <w:r w:rsidRPr="004D655A">
        <w:rPr>
          <w:rFonts w:ascii="Times New Roman" w:eastAsia="Times New Roman" w:hAnsi="Times New Roman" w:cs="Times New Roman"/>
          <w:b/>
          <w:bCs/>
          <w:sz w:val="24"/>
          <w:szCs w:val="24"/>
          <w:lang w:eastAsia="it-IT"/>
        </w:rPr>
        <w:t>qualificato come</w:t>
      </w:r>
      <w:r w:rsidRPr="004D655A">
        <w:rPr>
          <w:rFonts w:ascii="Times New Roman" w:eastAsia="Times New Roman" w:hAnsi="Times New Roman" w:cs="Times New Roman"/>
          <w:sz w:val="24"/>
          <w:szCs w:val="24"/>
          <w:lang w:eastAsia="it-IT"/>
        </w:rPr>
        <w:t xml:space="preserve"> “</w:t>
      </w:r>
      <w:r w:rsidRPr="004D655A">
        <w:rPr>
          <w:rFonts w:ascii="Times New Roman" w:eastAsia="Times New Roman" w:hAnsi="Times New Roman" w:cs="Times New Roman"/>
          <w:b/>
          <w:bCs/>
          <w:sz w:val="24"/>
          <w:szCs w:val="24"/>
          <w:lang w:eastAsia="it-IT"/>
        </w:rPr>
        <w:t>prelievo tributario</w:t>
      </w:r>
      <w:r w:rsidRPr="004D655A">
        <w:rPr>
          <w:rFonts w:ascii="Times New Roman" w:eastAsia="Times New Roman" w:hAnsi="Times New Roman" w:cs="Times New Roman"/>
          <w:sz w:val="24"/>
          <w:szCs w:val="24"/>
          <w:lang w:eastAsia="it-IT"/>
        </w:rPr>
        <w:t>”;</w:t>
      </w:r>
    </w:p>
    <w:p w:rsidR="004D655A" w:rsidRPr="004D655A" w:rsidRDefault="004D655A" w:rsidP="004D655A">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10 marzo 2015</w:t>
      </w:r>
      <w:r w:rsidRPr="004D655A">
        <w:rPr>
          <w:rFonts w:ascii="Times New Roman" w:eastAsia="Times New Roman" w:hAnsi="Times New Roman" w:cs="Times New Roman"/>
          <w:sz w:val="24"/>
          <w:szCs w:val="24"/>
          <w:lang w:eastAsia="it-IT"/>
        </w:rPr>
        <w:t>.  Sentenza n. 70.</w:t>
      </w:r>
      <w:r w:rsidRPr="004D655A">
        <w:rPr>
          <w:rFonts w:ascii="Times New Roman" w:eastAsia="Times New Roman" w:hAnsi="Times New Roman" w:cs="Times New Roman"/>
          <w:b/>
          <w:bCs/>
          <w:sz w:val="24"/>
          <w:szCs w:val="24"/>
          <w:lang w:eastAsia="it-IT"/>
        </w:rPr>
        <w:t xml:space="preserve"> La Corte Costituzionale accoglie le nostre istanze</w:t>
      </w:r>
      <w:r w:rsidRPr="004D655A">
        <w:rPr>
          <w:rFonts w:ascii="Times New Roman" w:eastAsia="Times New Roman" w:hAnsi="Times New Roman" w:cs="Times New Roman"/>
          <w:sz w:val="24"/>
          <w:szCs w:val="24"/>
          <w:lang w:eastAsia="it-IT"/>
        </w:rPr>
        <w:t xml:space="preserve"> avverso la limitazione della rivalutazione automatica dei trattamenti pensionistici stabilita dal decreto-legge 6 dicembre 2011, n. 201 «Legge Salva Italia». </w:t>
      </w:r>
      <w:r w:rsidRPr="004D655A">
        <w:rPr>
          <w:rFonts w:ascii="Times New Roman" w:eastAsia="Times New Roman" w:hAnsi="Times New Roman" w:cs="Times New Roman"/>
          <w:b/>
          <w:bCs/>
          <w:sz w:val="24"/>
          <w:szCs w:val="24"/>
          <w:lang w:eastAsia="it-IT"/>
        </w:rPr>
        <w:t>Pensavamo di aver messo la parola “fine” ad iniqui provvedimenti nei nostri confronti, ma così non è stato</w:t>
      </w:r>
      <w:r w:rsidRPr="004D655A">
        <w:rPr>
          <w:rFonts w:ascii="Times New Roman" w:eastAsia="Times New Roman" w:hAnsi="Times New Roman" w:cs="Times New Roman"/>
          <w:sz w:val="24"/>
          <w:szCs w:val="24"/>
          <w:lang w:eastAsia="it-IT"/>
        </w:rPr>
        <w:t>!  Come diciamo dopo. </w:t>
      </w:r>
    </w:p>
    <w:p w:rsidR="004D655A" w:rsidRPr="004D655A" w:rsidRDefault="004D655A" w:rsidP="004D655A">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22 dicembre 2015</w:t>
      </w:r>
      <w:r w:rsidRPr="004D655A">
        <w:rPr>
          <w:rFonts w:ascii="Times New Roman" w:eastAsia="Times New Roman" w:hAnsi="Times New Roman" w:cs="Times New Roman"/>
          <w:sz w:val="24"/>
          <w:szCs w:val="24"/>
          <w:lang w:eastAsia="it-IT"/>
        </w:rPr>
        <w:t>.  Ordinanza n.274.  Questa Ordinanza mette in evidenza i mutati orientamenti della Corte Costituzionale. In essa la Corte afferma che "In relazione ai rapporti di durata, (indennità previdenziali, pensioni, dirette e di reversibilità) non si può riporre alcun ragionevole affidamento nell’immutabilità della disciplina e non sono precluse modificazioni sfavorevoli, finalizzate a riequilibrare il sistema".</w:t>
      </w:r>
    </w:p>
    <w:p w:rsidR="004D655A" w:rsidRPr="004D655A" w:rsidRDefault="004D655A" w:rsidP="004D655A">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5 luglio 2016</w:t>
      </w:r>
      <w:r w:rsidRPr="004D655A">
        <w:rPr>
          <w:rFonts w:ascii="Times New Roman" w:eastAsia="Times New Roman" w:hAnsi="Times New Roman" w:cs="Times New Roman"/>
          <w:sz w:val="24"/>
          <w:szCs w:val="24"/>
          <w:lang w:eastAsia="it-IT"/>
        </w:rPr>
        <w:t>.  Sentenza n.173.  La Corte Costituzionale ribalta la precedente sentenza n.116/2013.  Dichiara la legittimità dei “contributi di solidarietà” ed il nuovo sistema di perequazione per gli anni 2014-2016 stabilito dalla legge di stabilità 2014. In questo caso la Consulta ha ritenuto che trattasi di un “un contributo di solidarietà interno al circuito previdenziale, giustificato in via del tutto eccezionale dalla crisi contingente e grave del sistema”. Ma nel contempo, per fortuna, ha fissato dei paletti che poi saranno utili per fronteggiare altri provvedimenti restrittivi. </w:t>
      </w:r>
    </w:p>
    <w:p w:rsidR="004D655A" w:rsidRPr="004D655A" w:rsidRDefault="004D655A" w:rsidP="004D655A">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24 ottobre 2017</w:t>
      </w:r>
      <w:r w:rsidRPr="004D655A">
        <w:rPr>
          <w:rFonts w:ascii="Times New Roman" w:eastAsia="Times New Roman" w:hAnsi="Times New Roman" w:cs="Times New Roman"/>
          <w:sz w:val="24"/>
          <w:szCs w:val="24"/>
          <w:lang w:eastAsia="it-IT"/>
        </w:rPr>
        <w:t xml:space="preserve">.  Sentenza n° 250. La Corte Costituzionale respinge il ricorso per la dichiarazione di illegittimità costituzionale delle norme sul blocco della perequazione 2012-2013, così come dettate dal DL 65/2015 (Decreto Poletti). Questa sentenza ha legittimato le misure restrittive a nostro danno. Nella stessa vengono addirittura enunciate le ragioni per le quali le pensioni-medio alte possono essere assoggettate ad ulteriori prelievi. Dice la sentenza che questi trattamenti, per la loro maggiore entità, presentano margini di resistenza </w:t>
      </w:r>
      <w:r w:rsidRPr="004D655A">
        <w:rPr>
          <w:rFonts w:ascii="Times New Roman" w:eastAsia="Times New Roman" w:hAnsi="Times New Roman" w:cs="Times New Roman"/>
          <w:sz w:val="24"/>
          <w:szCs w:val="24"/>
          <w:lang w:eastAsia="it-IT"/>
        </w:rPr>
        <w:lastRenderedPageBreak/>
        <w:t>all’erosione del potere d’acquisto causata dall’inflazione. E pertanto il blocco della perequazione di questi trattamenti non ne pregiudica l’adeguatezza.</w:t>
      </w:r>
    </w:p>
    <w:p w:rsidR="004D655A" w:rsidRPr="004D655A" w:rsidRDefault="004D655A" w:rsidP="004D655A">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In date successive</w:t>
      </w:r>
      <w:r w:rsidRPr="004D655A">
        <w:rPr>
          <w:rFonts w:ascii="Times New Roman" w:eastAsia="Times New Roman" w:hAnsi="Times New Roman" w:cs="Times New Roman"/>
          <w:sz w:val="24"/>
          <w:szCs w:val="24"/>
          <w:lang w:eastAsia="it-IT"/>
        </w:rPr>
        <w:t>, tramite studi legali, sono presentati migliaia di ricorsi alla CEDU (Corte Europea dei Diritti dell’Uomo, con sede a Strasburgo) contro il Decreto Poletti (citato) e dichiarato legittimo dalla Corte Costituzionale italiana. Con riferimento all’articolo 6.1 della Convenzione, nei ricorsi si lamenta l’applicazione retroattiva delle norme introdotte con tale decreto. </w:t>
      </w:r>
    </w:p>
    <w:p w:rsidR="004D655A" w:rsidRPr="004D655A" w:rsidRDefault="004D655A" w:rsidP="004D655A">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Luglio 2018</w:t>
      </w:r>
      <w:r w:rsidRPr="004D655A">
        <w:rPr>
          <w:rFonts w:ascii="Times New Roman" w:eastAsia="Times New Roman" w:hAnsi="Times New Roman" w:cs="Times New Roman"/>
          <w:sz w:val="24"/>
          <w:szCs w:val="24"/>
          <w:lang w:eastAsia="it-IT"/>
        </w:rPr>
        <w:t>. La Corte di Strasburgo respinge i ricorsi riprendendo molte motivazioni della citata Sentenza n.250 della Corte Costituzionale italiana. </w:t>
      </w:r>
    </w:p>
    <w:p w:rsidR="004D655A" w:rsidRPr="004D655A" w:rsidRDefault="004D655A" w:rsidP="004D655A">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17 ottobre 2019</w:t>
      </w:r>
      <w:r w:rsidRPr="004D655A">
        <w:rPr>
          <w:rFonts w:ascii="Times New Roman" w:eastAsia="Times New Roman" w:hAnsi="Times New Roman" w:cs="Times New Roman"/>
          <w:sz w:val="24"/>
          <w:szCs w:val="24"/>
          <w:lang w:eastAsia="it-IT"/>
        </w:rPr>
        <w:t>, l'ordinanza della Corte dei Conti del Friuli Venezia Giulia rimette al giudizio della Consulta l’art. 1, commi 260 -269 della legge n. 145 del 2018 sulle pensioni.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4D655A">
        <w:rPr>
          <w:rFonts w:ascii="Times New Roman" w:eastAsia="Times New Roman" w:hAnsi="Times New Roman" w:cs="Times New Roman"/>
          <w:b/>
          <w:bCs/>
          <w:sz w:val="27"/>
          <w:szCs w:val="27"/>
          <w:lang w:eastAsia="it-IT"/>
        </w:rPr>
        <w:t>Nonostante la sequenza di sentenze sfavorevoli sopra elencate, perché resto fiducioso dell’accoglimento dei nostri ricorsi pilota?</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xml:space="preserve">La Corte dei Conti del Friuli Venezia Giulia, oltre ai noti profili di incostituzionalità già evidenziati nei nostri ricorsi precedenti, ha segnalato la non “transitorietà” degli interventi sulle pensioni. In particolare, per quanto riguarda la revisione del meccanismo di rivalutazione delle pensioni, secondo la magistratura contabile, </w:t>
      </w:r>
      <w:r w:rsidRPr="004D655A">
        <w:rPr>
          <w:rFonts w:ascii="Times New Roman" w:eastAsia="Times New Roman" w:hAnsi="Times New Roman" w:cs="Times New Roman"/>
          <w:b/>
          <w:bCs/>
          <w:sz w:val="24"/>
          <w:szCs w:val="24"/>
          <w:lang w:eastAsia="it-IT"/>
        </w:rPr>
        <w:t>siamo in presenza di “una sequenza ininterrotta di provvedimenti che, secondo modalità diverse ma rispondenti ad una omologa ratio ispiratrice, hanno sistematicamente compresso (e talora del tutto escluso) la perequazione dei trattamenti pensionistici di maggior importo a partire dall’anno 2012</w:t>
      </w:r>
      <w:r w:rsidRPr="004D655A">
        <w:rPr>
          <w:rFonts w:ascii="Times New Roman" w:eastAsia="Times New Roman" w:hAnsi="Times New Roman" w:cs="Times New Roman"/>
          <w:sz w:val="24"/>
          <w:szCs w:val="24"/>
          <w:lang w:eastAsia="it-IT"/>
        </w:rPr>
        <w:t xml:space="preserve">. La situazione determinata con la legge di bilancio 2019, porta a considerare detta contrazione per un decennio 2012-2021”. “Il così detto effetto di trascinamento e la definitività della mancata/limitata perequazione esplica effetti significativi che appaiono idonei a </w:t>
      </w:r>
      <w:r w:rsidRPr="004D655A">
        <w:rPr>
          <w:rFonts w:ascii="Times New Roman" w:eastAsia="Times New Roman" w:hAnsi="Times New Roman" w:cs="Times New Roman"/>
          <w:b/>
          <w:bCs/>
          <w:sz w:val="24"/>
          <w:szCs w:val="24"/>
          <w:lang w:eastAsia="it-IT"/>
        </w:rPr>
        <w:t>minare in misura apprezzabile i margini di resistenza di tali trattamenti</w:t>
      </w:r>
      <w:r w:rsidRPr="004D655A">
        <w:rPr>
          <w:rFonts w:ascii="Times New Roman" w:eastAsia="Times New Roman" w:hAnsi="Times New Roman" w:cs="Times New Roman"/>
          <w:sz w:val="24"/>
          <w:szCs w:val="24"/>
          <w:lang w:eastAsia="it-IT"/>
        </w:rPr>
        <w:t>.”</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A questo punto è bene ricordare che le perdite già sopportate dai dirigenti pensionati per il blocco o la ridotta perequazione sono molto alte. Dai calcoli ricavabili da uno studio elaborato da Itinerari Previdenziali, risulta che, per il periodo 2006-2019, che: </w:t>
      </w:r>
    </w:p>
    <w:p w:rsidR="004D655A" w:rsidRPr="004D655A" w:rsidRDefault="004D655A" w:rsidP="004D655A">
      <w:pPr>
        <w:numPr>
          <w:ilvl w:val="0"/>
          <w:numId w:val="2"/>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i pensionati con rendite di 4.000 euro lordi</w:t>
      </w:r>
      <w:r w:rsidRPr="004D655A">
        <w:rPr>
          <w:rFonts w:ascii="Times New Roman" w:eastAsia="Times New Roman" w:hAnsi="Times New Roman" w:cs="Times New Roman"/>
          <w:sz w:val="24"/>
          <w:szCs w:val="24"/>
          <w:lang w:eastAsia="it-IT"/>
        </w:rPr>
        <w:t xml:space="preserve">, (52.000 euro annui lordi) </w:t>
      </w:r>
      <w:r w:rsidRPr="004D655A">
        <w:rPr>
          <w:rFonts w:ascii="Times New Roman" w:eastAsia="Times New Roman" w:hAnsi="Times New Roman" w:cs="Times New Roman"/>
          <w:b/>
          <w:bCs/>
          <w:sz w:val="24"/>
          <w:szCs w:val="24"/>
          <w:lang w:eastAsia="it-IT"/>
        </w:rPr>
        <w:t>hanno accumulato una perdita di 48.770 euro lordi</w:t>
      </w:r>
      <w:r w:rsidRPr="004D655A">
        <w:rPr>
          <w:rFonts w:ascii="Times New Roman" w:eastAsia="Times New Roman" w:hAnsi="Times New Roman" w:cs="Times New Roman"/>
          <w:sz w:val="24"/>
          <w:szCs w:val="24"/>
          <w:lang w:eastAsia="it-IT"/>
        </w:rPr>
        <w:t>; </w:t>
      </w:r>
    </w:p>
    <w:p w:rsidR="004D655A" w:rsidRPr="004D655A" w:rsidRDefault="004D655A" w:rsidP="004D655A">
      <w:pPr>
        <w:numPr>
          <w:ilvl w:val="0"/>
          <w:numId w:val="2"/>
        </w:num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i pensionati che ricevono 8.000 euro lordi</w:t>
      </w:r>
      <w:r w:rsidRPr="004D655A">
        <w:rPr>
          <w:rFonts w:ascii="Times New Roman" w:eastAsia="Times New Roman" w:hAnsi="Times New Roman" w:cs="Times New Roman"/>
          <w:sz w:val="24"/>
          <w:szCs w:val="24"/>
          <w:lang w:eastAsia="it-IT"/>
        </w:rPr>
        <w:t xml:space="preserve"> di pensione al mese (5.200 netti), in 13 anni, </w:t>
      </w:r>
      <w:r w:rsidRPr="004D655A">
        <w:rPr>
          <w:rFonts w:ascii="Times New Roman" w:eastAsia="Times New Roman" w:hAnsi="Times New Roman" w:cs="Times New Roman"/>
          <w:b/>
          <w:bCs/>
          <w:sz w:val="24"/>
          <w:szCs w:val="24"/>
          <w:lang w:eastAsia="it-IT"/>
        </w:rPr>
        <w:t>hanno subito una perdita di 105.640 euro lordi</w:t>
      </w:r>
      <w:r w:rsidRPr="004D655A">
        <w:rPr>
          <w:rFonts w:ascii="Times New Roman" w:eastAsia="Times New Roman" w:hAnsi="Times New Roman" w:cs="Times New Roman"/>
          <w:sz w:val="24"/>
          <w:szCs w:val="24"/>
          <w:lang w:eastAsia="it-IT"/>
        </w:rPr>
        <w:t>.</w:t>
      </w:r>
    </w:p>
    <w:p w:rsidR="004D655A" w:rsidRDefault="004D655A" w:rsidP="004D655A">
      <w:pPr>
        <w:pBdr>
          <w:bottom w:val="single" w:sz="6" w:space="1" w:color="auto"/>
        </w:pBdr>
        <w:spacing w:before="100" w:beforeAutospacing="1" w:after="100" w:afterAutospacing="1" w:line="240" w:lineRule="auto"/>
        <w:outlineLvl w:val="4"/>
        <w:rPr>
          <w:rFonts w:ascii="Times New Roman" w:eastAsia="Times New Roman" w:hAnsi="Times New Roman" w:cs="Times New Roman"/>
          <w:b/>
          <w:bCs/>
          <w:sz w:val="20"/>
          <w:szCs w:val="20"/>
          <w:lang w:eastAsia="it-IT"/>
        </w:rPr>
      </w:pPr>
      <w:r w:rsidRPr="004D655A">
        <w:rPr>
          <w:rFonts w:ascii="Times New Roman" w:eastAsia="Times New Roman" w:hAnsi="Times New Roman" w:cs="Times New Roman"/>
          <w:b/>
          <w:bCs/>
          <w:sz w:val="20"/>
          <w:szCs w:val="20"/>
          <w:lang w:eastAsia="it-IT"/>
        </w:rPr>
        <w:t>Ognuno li chiami come vuole.</w:t>
      </w:r>
    </w:p>
    <w:p w:rsidR="004D655A" w:rsidRPr="004D655A" w:rsidRDefault="004D655A" w:rsidP="004D655A">
      <w:pPr>
        <w:spacing w:before="100" w:beforeAutospacing="1" w:after="100" w:afterAutospacing="1" w:line="240" w:lineRule="auto"/>
        <w:outlineLvl w:val="1"/>
        <w:rPr>
          <w:rFonts w:ascii="Times New Roman" w:eastAsia="Times New Roman" w:hAnsi="Times New Roman" w:cs="Times New Roman"/>
          <w:b/>
          <w:bCs/>
          <w:color w:val="002060"/>
          <w:sz w:val="36"/>
          <w:szCs w:val="36"/>
          <w:u w:val="single"/>
          <w:lang w:eastAsia="it-IT"/>
        </w:rPr>
      </w:pPr>
      <w:r w:rsidRPr="004D655A">
        <w:rPr>
          <w:rFonts w:ascii="Times New Roman" w:eastAsia="Times New Roman" w:hAnsi="Times New Roman" w:cs="Times New Roman"/>
          <w:b/>
          <w:bCs/>
          <w:color w:val="002060"/>
          <w:sz w:val="36"/>
          <w:szCs w:val="36"/>
          <w:u w:val="single"/>
          <w:lang w:eastAsia="it-IT"/>
        </w:rPr>
        <w:t>La Corte dei Conti dà ragione ai pensionati</w:t>
      </w:r>
    </w:p>
    <w:p w:rsidR="004D655A" w:rsidRPr="004D655A" w:rsidRDefault="004D655A" w:rsidP="004D655A">
      <w:p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xml:space="preserve">Ci auguriamo che la Corte Costituzionale, recependo </w:t>
      </w:r>
      <w:proofErr w:type="gramStart"/>
      <w:r w:rsidRPr="004D655A">
        <w:rPr>
          <w:rFonts w:ascii="Times New Roman" w:eastAsia="Times New Roman" w:hAnsi="Times New Roman" w:cs="Times New Roman"/>
          <w:sz w:val="24"/>
          <w:szCs w:val="24"/>
          <w:lang w:eastAsia="it-IT"/>
        </w:rPr>
        <w:t>le motivazione</w:t>
      </w:r>
      <w:proofErr w:type="gramEnd"/>
      <w:r w:rsidRPr="004D655A">
        <w:rPr>
          <w:rFonts w:ascii="Times New Roman" w:eastAsia="Times New Roman" w:hAnsi="Times New Roman" w:cs="Times New Roman"/>
          <w:sz w:val="24"/>
          <w:szCs w:val="24"/>
          <w:lang w:eastAsia="it-IT"/>
        </w:rPr>
        <w:t xml:space="preserve"> delle Ordinanze di rimessione, voglia cogliere l’occasione per porre fine, una volta per tutte, a provvedimenti continuativi e vessatori contro i pensionati.</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noProof/>
          <w:sz w:val="24"/>
          <w:szCs w:val="24"/>
          <w:lang w:eastAsia="it-IT"/>
        </w:rPr>
        <w:lastRenderedPageBreak/>
        <w:drawing>
          <wp:inline distT="0" distB="0" distL="0" distR="0" wp14:anchorId="3610CAA5" wp14:editId="3250F464">
            <wp:extent cx="4762500" cy="1076325"/>
            <wp:effectExtent l="0" t="0" r="0" b="9525"/>
            <wp:docPr id="6" name="Immagin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076325"/>
                    </a:xfrm>
                    <a:prstGeom prst="rect">
                      <a:avLst/>
                    </a:prstGeom>
                    <a:noFill/>
                    <a:ln>
                      <a:noFill/>
                    </a:ln>
                  </pic:spPr>
                </pic:pic>
              </a:graphicData>
            </a:graphic>
          </wp:inline>
        </w:drawing>
      </w:r>
    </w:p>
    <w:p w:rsidR="004D655A" w:rsidRPr="004D655A" w:rsidRDefault="004D655A" w:rsidP="004D655A">
      <w:pPr>
        <w:spacing w:before="100" w:beforeAutospacing="1" w:after="100" w:afterAutospacing="1"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b/>
          <w:bCs/>
          <w:sz w:val="24"/>
          <w:szCs w:val="24"/>
          <w:lang w:eastAsia="it-IT"/>
        </w:rPr>
        <w:t>Antonio Dentato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xml:space="preserve">Componente Sezione Pensionati </w:t>
      </w:r>
      <w:proofErr w:type="spellStart"/>
      <w:r w:rsidRPr="004D655A">
        <w:rPr>
          <w:rFonts w:ascii="Times New Roman" w:eastAsia="Times New Roman" w:hAnsi="Times New Roman" w:cs="Times New Roman"/>
          <w:sz w:val="24"/>
          <w:szCs w:val="24"/>
          <w:lang w:eastAsia="it-IT"/>
        </w:rPr>
        <w:t>Assidifer</w:t>
      </w:r>
      <w:proofErr w:type="spellEnd"/>
      <w:r w:rsidRPr="004D655A">
        <w:rPr>
          <w:rFonts w:ascii="Times New Roman" w:eastAsia="Times New Roman" w:hAnsi="Times New Roman" w:cs="Times New Roman"/>
          <w:sz w:val="24"/>
          <w:szCs w:val="24"/>
          <w:lang w:eastAsia="it-IT"/>
        </w:rPr>
        <w:t>-Federmanager</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Non possiamo che esprimere soddisfazione nel leggere il Comunicato Stampa CIDA che riporta, in sintesi, i contenuti dell’Ordinanza del 17 ottobre 2019, n. 6, della Corte dei Conti, Sez. giurisdizionale per il Friuli Venezia Giulia (in seguito Corte dei Conti). Questa ha sollevato, dinanzi alla Consulta, la questione di legittimità costituzionale dei provvedimenti legislativi che hanno determinato l’ennesimo blocco della perequazione e il prelievo sulle pensioni di importo medio-alto [legge n. 145/2018: nuovo meccanismo penalizzante di perequazione (comma 260); riduzione della pensione (comma 261)].</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L’Ordinanza rileva che i provvedimenti legislativi in questione non rispettano i tre fondamentali principi posti dalla Corte Costituzionale in tema di previdenza: ragionevolezza, adeguatezza, affidamento.</w:t>
      </w:r>
    </w:p>
    <w:p w:rsidR="004D655A" w:rsidRPr="004D655A" w:rsidRDefault="004D655A" w:rsidP="004D655A">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4D655A">
        <w:rPr>
          <w:rFonts w:ascii="Times New Roman" w:eastAsia="Times New Roman" w:hAnsi="Times New Roman" w:cs="Times New Roman"/>
          <w:b/>
          <w:bCs/>
          <w:sz w:val="27"/>
          <w:szCs w:val="27"/>
          <w:lang w:eastAsia="it-IT"/>
        </w:rPr>
        <w:t>La riduzione della pensione</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In particolare, sull’intervento di riduzione delle pensioni di importo elevato, la Corte dei Conti osserva che la durata quinquennale della riduzione determina una “</w:t>
      </w:r>
      <w:r w:rsidRPr="004D655A">
        <w:rPr>
          <w:rFonts w:ascii="Times New Roman" w:eastAsia="Times New Roman" w:hAnsi="Times New Roman" w:cs="Times New Roman"/>
          <w:i/>
          <w:iCs/>
          <w:sz w:val="24"/>
          <w:szCs w:val="24"/>
          <w:lang w:eastAsia="it-IT"/>
        </w:rPr>
        <w:t>decurtazione patrimoniale arbitrariamente duratura del trattamento pensionistico, con acquisizione al bilancio statale del relativo gettito</w:t>
      </w:r>
      <w:r w:rsidRPr="004D655A">
        <w:rPr>
          <w:rFonts w:ascii="Times New Roman" w:eastAsia="Times New Roman" w:hAnsi="Times New Roman" w:cs="Times New Roman"/>
          <w:sz w:val="24"/>
          <w:szCs w:val="24"/>
          <w:lang w:eastAsia="it-IT"/>
        </w:rPr>
        <w:t>”. Anche noi, per parte nostra, nell’articolo “</w:t>
      </w:r>
      <w:hyperlink r:id="rId10" w:tgtFrame="_blank" w:history="1">
        <w:r w:rsidRPr="004D655A">
          <w:rPr>
            <w:rFonts w:ascii="Times New Roman" w:eastAsia="Times New Roman" w:hAnsi="Times New Roman" w:cs="Times New Roman"/>
            <w:b/>
            <w:bCs/>
            <w:i/>
            <w:iCs/>
            <w:color w:val="0000FF"/>
            <w:sz w:val="24"/>
            <w:szCs w:val="24"/>
            <w:u w:val="single"/>
            <w:lang w:eastAsia="it-IT"/>
          </w:rPr>
          <w:t>Questa volta non si tratta di contributo di solidarietà</w:t>
        </w:r>
      </w:hyperlink>
      <w:r w:rsidRPr="004D655A">
        <w:rPr>
          <w:rFonts w:ascii="Times New Roman" w:eastAsia="Times New Roman" w:hAnsi="Times New Roman" w:cs="Times New Roman"/>
          <w:sz w:val="24"/>
          <w:szCs w:val="24"/>
          <w:lang w:eastAsia="it-IT"/>
        </w:rPr>
        <w:t>” su questa Rivista del 1 settembre. 2019, avevamo rilevato che la durata di “</w:t>
      </w:r>
      <w:r w:rsidRPr="004D655A">
        <w:rPr>
          <w:rFonts w:ascii="Times New Roman" w:eastAsia="Times New Roman" w:hAnsi="Times New Roman" w:cs="Times New Roman"/>
          <w:i/>
          <w:iCs/>
          <w:sz w:val="24"/>
          <w:szCs w:val="24"/>
          <w:lang w:eastAsia="it-IT"/>
        </w:rPr>
        <w:t>cinque anni invece dei tradizionali tre</w:t>
      </w:r>
      <w:r w:rsidRPr="004D655A">
        <w:rPr>
          <w:rFonts w:ascii="Times New Roman" w:eastAsia="Times New Roman" w:hAnsi="Times New Roman" w:cs="Times New Roman"/>
          <w:sz w:val="24"/>
          <w:szCs w:val="24"/>
          <w:lang w:eastAsia="it-IT"/>
        </w:rPr>
        <w:t>” faceva la differenza rispetto ai contributi di solidarietà disposti con provvedimenti precedenti. Evidenziavamo, inoltre, che il provvedimento colpiva “</w:t>
      </w:r>
      <w:r w:rsidRPr="004D655A">
        <w:rPr>
          <w:rFonts w:ascii="Times New Roman" w:eastAsia="Times New Roman" w:hAnsi="Times New Roman" w:cs="Times New Roman"/>
          <w:i/>
          <w:iCs/>
          <w:sz w:val="24"/>
          <w:szCs w:val="24"/>
          <w:lang w:eastAsia="it-IT"/>
        </w:rPr>
        <w:t>una minoranza di pensionati i cui trattamenti sono a carico dell’INPS. Con esclusione di tutti gli altri</w:t>
      </w:r>
      <w:r w:rsidRPr="004D655A">
        <w:rPr>
          <w:rFonts w:ascii="Times New Roman" w:eastAsia="Times New Roman" w:hAnsi="Times New Roman" w:cs="Times New Roman"/>
          <w:sz w:val="24"/>
          <w:szCs w:val="24"/>
          <w:lang w:eastAsia="it-IT"/>
        </w:rPr>
        <w:t>”. La discriminazione era evidente. E ci conforta la motivazione usata dai giudici della Corte dei Conti quando affermano: che il prelievo grava soltanto “</w:t>
      </w:r>
      <w:r w:rsidRPr="004D655A">
        <w:rPr>
          <w:rFonts w:ascii="Times New Roman" w:eastAsia="Times New Roman" w:hAnsi="Times New Roman" w:cs="Times New Roman"/>
          <w:i/>
          <w:iCs/>
          <w:sz w:val="24"/>
          <w:szCs w:val="24"/>
          <w:lang w:eastAsia="it-IT"/>
        </w:rPr>
        <w:t>su specifiche categorie di pensionati e non su tutti i cittadini, con ciò risultando ingiustificatamente discriminatorio e non rispettoso dei canoni fondamentali di uguaglianza a parità di reddito e di universalità dell’imposizione</w:t>
      </w:r>
      <w:r w:rsidRPr="004D655A">
        <w:rPr>
          <w:rFonts w:ascii="Times New Roman" w:eastAsia="Times New Roman" w:hAnsi="Times New Roman" w:cs="Times New Roman"/>
          <w:sz w:val="24"/>
          <w:szCs w:val="24"/>
          <w:lang w:eastAsia="it-IT"/>
        </w:rPr>
        <w:t>”. Continuando affermano i giudici: “</w:t>
      </w:r>
      <w:r w:rsidRPr="004D655A">
        <w:rPr>
          <w:rFonts w:ascii="Times New Roman" w:eastAsia="Times New Roman" w:hAnsi="Times New Roman" w:cs="Times New Roman"/>
          <w:i/>
          <w:iCs/>
          <w:sz w:val="24"/>
          <w:szCs w:val="24"/>
          <w:lang w:eastAsia="it-IT"/>
        </w:rPr>
        <w:t>il sacrifico imposto ad una ristretta cerchia di soggetti, si palesa del tutto ingiustificato e discriminatorio, impropriamente sostitutivo di un intervento di fiscalità generale nei confronti di tutti i cittadini</w:t>
      </w:r>
      <w:r w:rsidRPr="004D655A">
        <w:rPr>
          <w:rFonts w:ascii="Times New Roman" w:eastAsia="Times New Roman" w:hAnsi="Times New Roman" w:cs="Times New Roman"/>
          <w:sz w:val="24"/>
          <w:szCs w:val="24"/>
          <w:lang w:eastAsia="it-IT"/>
        </w:rPr>
        <w:t>”.</w:t>
      </w:r>
    </w:p>
    <w:p w:rsidR="004D655A" w:rsidRPr="004D655A" w:rsidRDefault="004D655A" w:rsidP="004D655A">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4D655A">
        <w:rPr>
          <w:rFonts w:ascii="Times New Roman" w:eastAsia="Times New Roman" w:hAnsi="Times New Roman" w:cs="Times New Roman"/>
          <w:b/>
          <w:bCs/>
          <w:sz w:val="27"/>
          <w:szCs w:val="27"/>
          <w:lang w:eastAsia="it-IT"/>
        </w:rPr>
        <w:t>La modifica del sistema di perequazione</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Anche per agli interventi continuativi sulla perequazione non possiamo che esprimere soddisfazione per le motivazioni adottate dalla Corte dei Conti. Quando dice che siamo in presenza di “</w:t>
      </w:r>
      <w:r w:rsidRPr="004D655A">
        <w:rPr>
          <w:rFonts w:ascii="Times New Roman" w:eastAsia="Times New Roman" w:hAnsi="Times New Roman" w:cs="Times New Roman"/>
          <w:i/>
          <w:iCs/>
          <w:sz w:val="24"/>
          <w:szCs w:val="24"/>
          <w:lang w:eastAsia="it-IT"/>
        </w:rPr>
        <w:t>una sequenza ininterrotta di provvedimenti che, secondo modalità diverse ma rispondenti ad una omologa ratio ispiratrice, hanno sistematicamente compresso (e talora del tutto escluso) la perequazione dei trattamenti pensionistici di maggior importo a partire dall’anno 2012. La situazione determinata con la legge di bilancio 2019 porta a considerare detta contrazione per un decennio 2012-2021</w:t>
      </w:r>
      <w:r w:rsidRPr="004D655A">
        <w:rPr>
          <w:rFonts w:ascii="Times New Roman" w:eastAsia="Times New Roman" w:hAnsi="Times New Roman" w:cs="Times New Roman"/>
          <w:sz w:val="24"/>
          <w:szCs w:val="24"/>
          <w:lang w:eastAsia="it-IT"/>
        </w:rPr>
        <w:t>”.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lastRenderedPageBreak/>
        <w:t xml:space="preserve">È </w:t>
      </w:r>
      <w:proofErr w:type="gramStart"/>
      <w:r w:rsidRPr="004D655A">
        <w:rPr>
          <w:rFonts w:ascii="Times New Roman" w:eastAsia="Times New Roman" w:hAnsi="Times New Roman" w:cs="Times New Roman"/>
          <w:sz w:val="24"/>
          <w:szCs w:val="24"/>
          <w:lang w:eastAsia="it-IT"/>
        </w:rPr>
        <w:t>un osservazione</w:t>
      </w:r>
      <w:proofErr w:type="gramEnd"/>
      <w:r w:rsidRPr="004D655A">
        <w:rPr>
          <w:rFonts w:ascii="Times New Roman" w:eastAsia="Times New Roman" w:hAnsi="Times New Roman" w:cs="Times New Roman"/>
          <w:sz w:val="24"/>
          <w:szCs w:val="24"/>
          <w:lang w:eastAsia="it-IT"/>
        </w:rPr>
        <w:t xml:space="preserve"> di assoluto rilievo. Molto più modestamente, e ovviamente con minore dottrina, avevamo sollevato la questione. Non contestavamo il singolo provvedimento penalizzante o di sospensione, bensì la frequente reiterazione della misura in grado di paralizzare il sistema perequativo stesso. Perché, riprendendo anche la giurisprudenza costituzionale (Corte Cost. Sent. n. 316/2010) dicevamo: “</w:t>
      </w:r>
      <w:r w:rsidRPr="004D655A">
        <w:rPr>
          <w:rFonts w:ascii="Times New Roman" w:eastAsia="Times New Roman" w:hAnsi="Times New Roman" w:cs="Times New Roman"/>
          <w:i/>
          <w:iCs/>
          <w:sz w:val="24"/>
          <w:szCs w:val="24"/>
          <w:lang w:eastAsia="it-IT"/>
        </w:rPr>
        <w:t xml:space="preserve">i provvedimenti sospensivi o riduttivi della perequazione sono devastanti. Moltiplicano gli effetti di trascinamento anno su anno, vita </w:t>
      </w:r>
      <w:proofErr w:type="spellStart"/>
      <w:r w:rsidRPr="004D655A">
        <w:rPr>
          <w:rFonts w:ascii="Times New Roman" w:eastAsia="Times New Roman" w:hAnsi="Times New Roman" w:cs="Times New Roman"/>
          <w:i/>
          <w:iCs/>
          <w:sz w:val="24"/>
          <w:szCs w:val="24"/>
          <w:lang w:eastAsia="it-IT"/>
        </w:rPr>
        <w:t>natural</w:t>
      </w:r>
      <w:proofErr w:type="spellEnd"/>
      <w:r w:rsidRPr="004D655A">
        <w:rPr>
          <w:rFonts w:ascii="Times New Roman" w:eastAsia="Times New Roman" w:hAnsi="Times New Roman" w:cs="Times New Roman"/>
          <w:i/>
          <w:iCs/>
          <w:sz w:val="24"/>
          <w:szCs w:val="24"/>
          <w:lang w:eastAsia="it-IT"/>
        </w:rPr>
        <w:t xml:space="preserve"> durante del pensionato e si ripercuotono sugli aventi diritto alla reversibilità. Tanto per memoria, e senza contare quelli precedenti, vale la pena ricordare che i provvedimenti che incidono negativamente sulla perequazione, in continuità, anno su anno, prendono inizio nel 2012. E ora, con la legge n.145 (comma 260), proseguiranno fino al 2021. Dieci anni” (</w:t>
      </w:r>
      <w:r w:rsidRPr="004D655A">
        <w:rPr>
          <w:rFonts w:ascii="Times New Roman" w:eastAsia="Times New Roman" w:hAnsi="Times New Roman" w:cs="Times New Roman"/>
          <w:sz w:val="24"/>
          <w:szCs w:val="24"/>
          <w:lang w:eastAsia="it-IT"/>
        </w:rPr>
        <w:t>V. in questa Rivista 1 ottobre 2019 l’articolo</w:t>
      </w:r>
      <w:r w:rsidRPr="004D655A">
        <w:rPr>
          <w:rFonts w:ascii="Times New Roman" w:eastAsia="Times New Roman" w:hAnsi="Times New Roman" w:cs="Times New Roman"/>
          <w:i/>
          <w:iCs/>
          <w:sz w:val="24"/>
          <w:szCs w:val="24"/>
          <w:lang w:eastAsia="it-IT"/>
        </w:rPr>
        <w:t xml:space="preserve"> “I</w:t>
      </w:r>
      <w:hyperlink r:id="rId11" w:tgtFrame="_blank" w:history="1">
        <w:r w:rsidRPr="004D655A">
          <w:rPr>
            <w:rFonts w:ascii="Times New Roman" w:eastAsia="Times New Roman" w:hAnsi="Times New Roman" w:cs="Times New Roman"/>
            <w:b/>
            <w:bCs/>
            <w:i/>
            <w:iCs/>
            <w:color w:val="0000FF"/>
            <w:sz w:val="24"/>
            <w:szCs w:val="24"/>
            <w:u w:val="single"/>
            <w:lang w:eastAsia="it-IT"/>
          </w:rPr>
          <w:t>n difesa dei diritti e della dignità dei pensionati</w:t>
        </w:r>
      </w:hyperlink>
      <w:r w:rsidRPr="004D655A">
        <w:rPr>
          <w:rFonts w:ascii="Times New Roman" w:eastAsia="Times New Roman" w:hAnsi="Times New Roman" w:cs="Times New Roman"/>
          <w:i/>
          <w:iCs/>
          <w:sz w:val="24"/>
          <w:szCs w:val="24"/>
          <w:lang w:eastAsia="it-IT"/>
        </w:rPr>
        <w:t>).</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Pr="004D655A" w:rsidRDefault="004D655A" w:rsidP="004D655A">
      <w:pP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L’Ordinanza della Corte dei Conti ci dà speranza. “</w:t>
      </w:r>
      <w:r w:rsidRPr="004D655A">
        <w:rPr>
          <w:rFonts w:ascii="Times New Roman" w:eastAsia="Times New Roman" w:hAnsi="Times New Roman" w:cs="Times New Roman"/>
          <w:i/>
          <w:iCs/>
          <w:sz w:val="24"/>
          <w:szCs w:val="24"/>
          <w:lang w:eastAsia="it-IT"/>
        </w:rPr>
        <w:t>Auspichiamo - come dice CIDA nel comunicato riportato - che anche gli altri ricorsi avviati possano produrre analoghi risultati, in particolare quelli sui quali saranno chiamati a pronunciarsi i Tribunali ordinari, in quanto riferiti a dirigenti del settore privato. Una pluralità di rinvii provenienti da sedi diverse, specialmente se corredati da motivazioni tra loro coerenti, potrà significativamente testimoniare la fondatezza delle tesi da noi sostenute</w:t>
      </w:r>
      <w:r w:rsidRPr="004D655A">
        <w:rPr>
          <w:rFonts w:ascii="Times New Roman" w:eastAsia="Times New Roman" w:hAnsi="Times New Roman" w:cs="Times New Roman"/>
          <w:sz w:val="24"/>
          <w:szCs w:val="24"/>
          <w:lang w:eastAsia="it-IT"/>
        </w:rPr>
        <w:t>”. </w:t>
      </w:r>
    </w:p>
    <w:p w:rsidR="004D655A" w:rsidRPr="004D655A" w:rsidRDefault="004D655A" w:rsidP="004D655A">
      <w:pPr>
        <w:spacing w:after="0" w:line="240" w:lineRule="auto"/>
        <w:rPr>
          <w:rFonts w:ascii="Times New Roman" w:eastAsia="Times New Roman" w:hAnsi="Times New Roman" w:cs="Times New Roman"/>
          <w:sz w:val="24"/>
          <w:szCs w:val="24"/>
          <w:lang w:eastAsia="it-IT"/>
        </w:rPr>
      </w:pPr>
    </w:p>
    <w:p w:rsidR="004D655A" w:rsidRDefault="004D655A" w:rsidP="004D655A">
      <w:pPr>
        <w:pBdr>
          <w:bottom w:val="single" w:sz="6" w:space="1" w:color="auto"/>
        </w:pBdr>
        <w:spacing w:after="0" w:line="240" w:lineRule="auto"/>
        <w:rPr>
          <w:rFonts w:ascii="Times New Roman" w:eastAsia="Times New Roman" w:hAnsi="Times New Roman" w:cs="Times New Roman"/>
          <w:sz w:val="24"/>
          <w:szCs w:val="24"/>
          <w:lang w:eastAsia="it-IT"/>
        </w:rPr>
      </w:pPr>
      <w:r w:rsidRPr="004D655A">
        <w:rPr>
          <w:rFonts w:ascii="Times New Roman" w:eastAsia="Times New Roman" w:hAnsi="Times New Roman" w:cs="Times New Roman"/>
          <w:sz w:val="24"/>
          <w:szCs w:val="24"/>
          <w:lang w:eastAsia="it-IT"/>
        </w:rPr>
        <w:t xml:space="preserve">Più particolarmente ci auguriamo che la Corte Costituzionale, recependo </w:t>
      </w:r>
      <w:proofErr w:type="gramStart"/>
      <w:r w:rsidRPr="004D655A">
        <w:rPr>
          <w:rFonts w:ascii="Times New Roman" w:eastAsia="Times New Roman" w:hAnsi="Times New Roman" w:cs="Times New Roman"/>
          <w:sz w:val="24"/>
          <w:szCs w:val="24"/>
          <w:lang w:eastAsia="it-IT"/>
        </w:rPr>
        <w:t>le motivazione</w:t>
      </w:r>
      <w:proofErr w:type="gramEnd"/>
      <w:r w:rsidRPr="004D655A">
        <w:rPr>
          <w:rFonts w:ascii="Times New Roman" w:eastAsia="Times New Roman" w:hAnsi="Times New Roman" w:cs="Times New Roman"/>
          <w:sz w:val="24"/>
          <w:szCs w:val="24"/>
          <w:lang w:eastAsia="it-IT"/>
        </w:rPr>
        <w:t xml:space="preserve"> delle Ordinanze di rimessione, voglia cogliere l’occasione per porre fine, una volta per tutte, a provvedimenti continuativi e vessatori contro i pensionati. </w:t>
      </w:r>
    </w:p>
    <w:p w:rsidR="003535E3" w:rsidRPr="003535E3" w:rsidRDefault="003535E3" w:rsidP="003535E3">
      <w:pPr>
        <w:spacing w:before="100" w:beforeAutospacing="1" w:after="100" w:afterAutospacing="1" w:line="240" w:lineRule="auto"/>
        <w:outlineLvl w:val="1"/>
        <w:rPr>
          <w:rFonts w:ascii="Times New Roman" w:eastAsia="Times New Roman" w:hAnsi="Times New Roman" w:cs="Times New Roman"/>
          <w:b/>
          <w:bCs/>
          <w:color w:val="002060"/>
          <w:sz w:val="40"/>
          <w:szCs w:val="40"/>
          <w:u w:val="single"/>
          <w:lang w:eastAsia="it-IT"/>
        </w:rPr>
      </w:pPr>
      <w:r w:rsidRPr="003535E3">
        <w:rPr>
          <w:rFonts w:ascii="Times New Roman" w:eastAsia="Times New Roman" w:hAnsi="Times New Roman" w:cs="Times New Roman"/>
          <w:b/>
          <w:bCs/>
          <w:color w:val="002060"/>
          <w:sz w:val="40"/>
          <w:szCs w:val="40"/>
          <w:u w:val="single"/>
          <w:lang w:eastAsia="it-IT"/>
        </w:rPr>
        <w:t>Le buone battaglie dei pensionati</w:t>
      </w:r>
    </w:p>
    <w:p w:rsidR="003535E3" w:rsidRPr="003535E3" w:rsidRDefault="003535E3" w:rsidP="003535E3">
      <w:pPr>
        <w:spacing w:before="100" w:beforeAutospacing="1" w:after="100" w:afterAutospacing="1"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Possiamo attivare anche la nostra voce e collaborare alle iniziative che indirizzano verso la maggiore “trasparenza” le attività economiche del nostro Paese. Possiamo impegnarci in favore delle innovazioni tecnologiche che consentono le buone pratiche nelle attività finanziarie e commerciali.</w:t>
      </w:r>
    </w:p>
    <w:p w:rsidR="003535E3" w:rsidRPr="003535E3" w:rsidRDefault="003535E3" w:rsidP="003535E3">
      <w:pPr>
        <w:spacing w:before="100" w:beforeAutospacing="1" w:after="100" w:afterAutospacing="1"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b/>
          <w:bCs/>
          <w:sz w:val="24"/>
          <w:szCs w:val="24"/>
          <w:lang w:eastAsia="it-IT"/>
        </w:rPr>
        <w:t>Antonio Dentato </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 xml:space="preserve">Componente Sezione Pensionati </w:t>
      </w:r>
      <w:proofErr w:type="spellStart"/>
      <w:r w:rsidRPr="003535E3">
        <w:rPr>
          <w:rFonts w:ascii="Times New Roman" w:eastAsia="Times New Roman" w:hAnsi="Times New Roman" w:cs="Times New Roman"/>
          <w:sz w:val="24"/>
          <w:szCs w:val="24"/>
          <w:lang w:eastAsia="it-IT"/>
        </w:rPr>
        <w:t>Assidifer</w:t>
      </w:r>
      <w:proofErr w:type="spellEnd"/>
      <w:r w:rsidRPr="003535E3">
        <w:rPr>
          <w:rFonts w:ascii="Times New Roman" w:eastAsia="Times New Roman" w:hAnsi="Times New Roman" w:cs="Times New Roman"/>
          <w:sz w:val="24"/>
          <w:szCs w:val="24"/>
          <w:lang w:eastAsia="it-IT"/>
        </w:rPr>
        <w:t>-Federmanager</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 xml:space="preserve">Combattiamo le buone battaglie. Difendiamo i nostri diritti e, con essi, la nostra dignità, a fronte di quanti ci consegnano all’opinione pubblica come dei “privilegiati”, perché - dicono - percettori di pensioni non coperte dai contributi previdenziali. Non è vero, </w:t>
      </w:r>
      <w:proofErr w:type="spellStart"/>
      <w:r w:rsidRPr="003535E3">
        <w:rPr>
          <w:rFonts w:ascii="Times New Roman" w:eastAsia="Times New Roman" w:hAnsi="Times New Roman" w:cs="Times New Roman"/>
          <w:b/>
          <w:bCs/>
          <w:i/>
          <w:iCs/>
          <w:sz w:val="24"/>
          <w:szCs w:val="24"/>
          <w:lang w:eastAsia="it-IT"/>
        </w:rPr>
        <w:t>fake</w:t>
      </w:r>
      <w:proofErr w:type="spellEnd"/>
      <w:r w:rsidRPr="003535E3">
        <w:rPr>
          <w:rFonts w:ascii="Times New Roman" w:eastAsia="Times New Roman" w:hAnsi="Times New Roman" w:cs="Times New Roman"/>
          <w:b/>
          <w:bCs/>
          <w:i/>
          <w:iCs/>
          <w:sz w:val="24"/>
          <w:szCs w:val="24"/>
          <w:lang w:eastAsia="it-IT"/>
        </w:rPr>
        <w:t xml:space="preserve"> news</w:t>
      </w:r>
      <w:r w:rsidRPr="003535E3">
        <w:rPr>
          <w:rFonts w:ascii="Times New Roman" w:eastAsia="Times New Roman" w:hAnsi="Times New Roman" w:cs="Times New Roman"/>
          <w:sz w:val="24"/>
          <w:szCs w:val="24"/>
          <w:lang w:eastAsia="it-IT"/>
        </w:rPr>
        <w:t xml:space="preserve"> che, purtroppo, appena sentite sono subito credute, come effetto delle manipolazioni che i sistemi di propaganda consentono. Inascoltate le smentite. Le nostre Rappresentanze sono riuscite a bloccare proposte palesemente incostituzionali. Si sono confrontate con la politica sui temi che, a loro volta, gli autori di questa Rivista hanno approfondito e divulgato. Hanno posto in prima evidenza i disagi e le crescenti esigenze economiche e sociali che si manifestano nel Paese: la questione demografica, le discriminazioni sociali; hanno affrontato il problema dei problemi: dove reperire le risorse per realizzare infrastrutture materiali e immateriali, incluse digitalizzazione, istruzione e formazione; migliorare i servizi, sviluppare la crescita.</w:t>
      </w:r>
      <w:r w:rsidRPr="003535E3">
        <w:rPr>
          <w:rFonts w:ascii="Times New Roman" w:eastAsia="Times New Roman" w:hAnsi="Times New Roman" w:cs="Times New Roman"/>
          <w:i/>
          <w:iCs/>
          <w:sz w:val="24"/>
          <w:szCs w:val="24"/>
          <w:lang w:eastAsia="it-IT"/>
        </w:rPr>
        <w:t xml:space="preserve"> (</w:t>
      </w:r>
      <w:r w:rsidRPr="003535E3">
        <w:rPr>
          <w:rFonts w:ascii="Times New Roman" w:eastAsia="Times New Roman" w:hAnsi="Times New Roman" w:cs="Times New Roman"/>
          <w:sz w:val="24"/>
          <w:szCs w:val="24"/>
          <w:lang w:eastAsia="it-IT"/>
        </w:rPr>
        <w:t xml:space="preserve">Fra vari articoli, V. in questa Rivista, 1 agosto 2018: </w:t>
      </w:r>
      <w:r w:rsidRPr="003535E3">
        <w:rPr>
          <w:rFonts w:ascii="Times New Roman" w:eastAsia="Times New Roman" w:hAnsi="Times New Roman" w:cs="Times New Roman"/>
          <w:i/>
          <w:iCs/>
          <w:sz w:val="24"/>
          <w:szCs w:val="24"/>
          <w:lang w:eastAsia="it-IT"/>
        </w:rPr>
        <w:t xml:space="preserve">“F. De Renzo, </w:t>
      </w:r>
      <w:hyperlink r:id="rId12" w:tgtFrame="_blank" w:history="1">
        <w:r w:rsidRPr="003535E3">
          <w:rPr>
            <w:rFonts w:ascii="Times New Roman" w:eastAsia="Times New Roman" w:hAnsi="Times New Roman" w:cs="Times New Roman"/>
            <w:b/>
            <w:bCs/>
            <w:i/>
            <w:iCs/>
            <w:color w:val="0000FF"/>
            <w:sz w:val="24"/>
            <w:szCs w:val="24"/>
            <w:u w:val="single"/>
            <w:lang w:eastAsia="it-IT"/>
          </w:rPr>
          <w:t>Perché si pagano le tasse</w:t>
        </w:r>
      </w:hyperlink>
      <w:r w:rsidRPr="003535E3">
        <w:rPr>
          <w:rFonts w:ascii="Times New Roman" w:eastAsia="Times New Roman" w:hAnsi="Times New Roman" w:cs="Times New Roman"/>
          <w:i/>
          <w:iCs/>
          <w:sz w:val="24"/>
          <w:szCs w:val="24"/>
          <w:lang w:eastAsia="it-IT"/>
        </w:rPr>
        <w:t>)</w:t>
      </w:r>
      <w:r w:rsidRPr="003535E3">
        <w:rPr>
          <w:rFonts w:ascii="Times New Roman" w:eastAsia="Times New Roman" w:hAnsi="Times New Roman" w:cs="Times New Roman"/>
          <w:sz w:val="24"/>
          <w:szCs w:val="24"/>
          <w:lang w:eastAsia="it-IT"/>
        </w:rPr>
        <w:t>. Servono più entrate fiscali. Partiamo da qui. </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 xml:space="preserve">È costantemente oltraggiato il principio dell’equa distribuzione della pressione fiscale su tutti i cittadini: nessun rispetto per il dovere inderogabile di solidarietà sociale di cui il Paese ha urgentemente bisogno; una solidarietà in grado di far contribuire in maniera giusta, secondo la capacità contributiva di ciascuno (persone fisiche e giuridiche), al finanziamento della spesa </w:t>
      </w:r>
      <w:r w:rsidRPr="003535E3">
        <w:rPr>
          <w:rFonts w:ascii="Times New Roman" w:eastAsia="Times New Roman" w:hAnsi="Times New Roman" w:cs="Times New Roman"/>
          <w:sz w:val="24"/>
          <w:szCs w:val="24"/>
          <w:lang w:eastAsia="it-IT"/>
        </w:rPr>
        <w:lastRenderedPageBreak/>
        <w:t>pubblica. Al contrario: aumenta il numero di quanti le tasse non le pagano. E come “effetto collaterale”, quelli che le pagano, ne devono pagare sempre di più. </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b/>
          <w:bCs/>
          <w:sz w:val="24"/>
          <w:szCs w:val="24"/>
          <w:lang w:eastAsia="it-IT"/>
        </w:rPr>
        <w:t>L’internazionale dell’elusione fiscale</w:t>
      </w:r>
      <w:r w:rsidRPr="003535E3">
        <w:rPr>
          <w:rFonts w:ascii="Times New Roman" w:eastAsia="Times New Roman" w:hAnsi="Times New Roman" w:cs="Times New Roman"/>
          <w:sz w:val="24"/>
          <w:szCs w:val="24"/>
          <w:lang w:eastAsia="it-IT"/>
        </w:rPr>
        <w:t xml:space="preserve"> è l’oggetto di una ricerca a livello mondiale svolta da un gruppo di economisti di diverse Università europee. </w:t>
      </w:r>
      <w:r w:rsidRPr="003535E3">
        <w:rPr>
          <w:rFonts w:ascii="Times New Roman" w:eastAsia="Times New Roman" w:hAnsi="Times New Roman" w:cs="Times New Roman"/>
          <w:i/>
          <w:iCs/>
          <w:sz w:val="24"/>
          <w:szCs w:val="24"/>
          <w:lang w:val="en-GB" w:eastAsia="it-IT"/>
        </w:rPr>
        <w:t xml:space="preserve">(V. Gabriel Zucman e </w:t>
      </w:r>
      <w:proofErr w:type="spellStart"/>
      <w:r w:rsidRPr="003535E3">
        <w:rPr>
          <w:rFonts w:ascii="Times New Roman" w:eastAsia="Times New Roman" w:hAnsi="Times New Roman" w:cs="Times New Roman"/>
          <w:i/>
          <w:iCs/>
          <w:sz w:val="24"/>
          <w:szCs w:val="24"/>
          <w:lang w:val="en-GB" w:eastAsia="it-IT"/>
        </w:rPr>
        <w:t>altri</w:t>
      </w:r>
      <w:proofErr w:type="spellEnd"/>
      <w:r w:rsidRPr="003535E3">
        <w:rPr>
          <w:rFonts w:ascii="Times New Roman" w:eastAsia="Times New Roman" w:hAnsi="Times New Roman" w:cs="Times New Roman"/>
          <w:i/>
          <w:iCs/>
          <w:sz w:val="24"/>
          <w:szCs w:val="24"/>
          <w:lang w:val="en-GB" w:eastAsia="it-IT"/>
        </w:rPr>
        <w:t>: The Missing Profits of Nations, 2019)</w:t>
      </w:r>
      <w:r w:rsidRPr="003535E3">
        <w:rPr>
          <w:rFonts w:ascii="Times New Roman" w:eastAsia="Times New Roman" w:hAnsi="Times New Roman" w:cs="Times New Roman"/>
          <w:sz w:val="24"/>
          <w:szCs w:val="24"/>
          <w:lang w:val="en-GB" w:eastAsia="it-IT"/>
        </w:rPr>
        <w:t xml:space="preserve">. </w:t>
      </w:r>
      <w:r w:rsidRPr="003535E3">
        <w:rPr>
          <w:rFonts w:ascii="Times New Roman" w:eastAsia="Times New Roman" w:hAnsi="Times New Roman" w:cs="Times New Roman"/>
          <w:sz w:val="24"/>
          <w:szCs w:val="24"/>
          <w:lang w:eastAsia="it-IT"/>
        </w:rPr>
        <w:t xml:space="preserve">Società multinazionali, in un anno (2016), hanno intascato 200Mld di dollari per effetto dello spostamento dei profitti (più di 650Mld) in paradisi fiscali. Analisi particolari dicono che, ogni anno, grazie a un complicato sistema di elusione, spostano dall’Italia verso i paradisi fiscali più di 24 miliardi di profitti. Sottraendo alle casse dello Stato qualcosa come 6 miliardi di euro. </w:t>
      </w:r>
      <w:r w:rsidRPr="003535E3">
        <w:rPr>
          <w:rFonts w:ascii="Times New Roman" w:eastAsia="Times New Roman" w:hAnsi="Times New Roman" w:cs="Times New Roman"/>
          <w:i/>
          <w:iCs/>
          <w:sz w:val="24"/>
          <w:szCs w:val="24"/>
          <w:lang w:eastAsia="it-IT"/>
        </w:rPr>
        <w:t xml:space="preserve">(Cfr. N. </w:t>
      </w:r>
      <w:proofErr w:type="spellStart"/>
      <w:r w:rsidRPr="003535E3">
        <w:rPr>
          <w:rFonts w:ascii="Times New Roman" w:eastAsia="Times New Roman" w:hAnsi="Times New Roman" w:cs="Times New Roman"/>
          <w:i/>
          <w:iCs/>
          <w:sz w:val="24"/>
          <w:szCs w:val="24"/>
          <w:lang w:eastAsia="it-IT"/>
        </w:rPr>
        <w:t>Bertoncello</w:t>
      </w:r>
      <w:proofErr w:type="spellEnd"/>
      <w:r w:rsidRPr="003535E3">
        <w:rPr>
          <w:rFonts w:ascii="Times New Roman" w:eastAsia="Times New Roman" w:hAnsi="Times New Roman" w:cs="Times New Roman"/>
          <w:i/>
          <w:iCs/>
          <w:sz w:val="24"/>
          <w:szCs w:val="24"/>
          <w:lang w:eastAsia="it-IT"/>
        </w:rPr>
        <w:t xml:space="preserve">: </w:t>
      </w:r>
      <w:hyperlink r:id="rId13" w:tgtFrame="_blank" w:history="1">
        <w:r w:rsidRPr="003535E3">
          <w:rPr>
            <w:rFonts w:ascii="Times New Roman" w:eastAsia="Times New Roman" w:hAnsi="Times New Roman" w:cs="Times New Roman"/>
            <w:i/>
            <w:iCs/>
            <w:color w:val="0000FF"/>
            <w:sz w:val="24"/>
            <w:szCs w:val="24"/>
            <w:u w:val="single"/>
            <w:lang w:eastAsia="it-IT"/>
          </w:rPr>
          <w:t>Se i profitti delle multinazionali vanno in paradiso</w:t>
        </w:r>
      </w:hyperlink>
      <w:r w:rsidRPr="003535E3">
        <w:rPr>
          <w:rFonts w:ascii="Times New Roman" w:eastAsia="Times New Roman" w:hAnsi="Times New Roman" w:cs="Times New Roman"/>
          <w:i/>
          <w:iCs/>
          <w:sz w:val="24"/>
          <w:szCs w:val="24"/>
          <w:lang w:eastAsia="it-IT"/>
        </w:rPr>
        <w:t>, in “lavoce.info” 01.10.19)</w:t>
      </w:r>
      <w:r w:rsidRPr="003535E3">
        <w:rPr>
          <w:rFonts w:ascii="Times New Roman" w:eastAsia="Times New Roman" w:hAnsi="Times New Roman" w:cs="Times New Roman"/>
          <w:sz w:val="24"/>
          <w:szCs w:val="24"/>
          <w:lang w:eastAsia="it-IT"/>
        </w:rPr>
        <w:t>.</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noProof/>
          <w:sz w:val="24"/>
          <w:szCs w:val="24"/>
          <w:lang w:eastAsia="it-IT"/>
        </w:rPr>
        <w:drawing>
          <wp:inline distT="0" distB="0" distL="0" distR="0" wp14:anchorId="42E32C8F" wp14:editId="5BB59128">
            <wp:extent cx="5715000" cy="3362325"/>
            <wp:effectExtent l="0" t="0" r="0" b="9525"/>
            <wp:docPr id="11" name="Immagin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362325"/>
                    </a:xfrm>
                    <a:prstGeom prst="rect">
                      <a:avLst/>
                    </a:prstGeom>
                    <a:noFill/>
                    <a:ln>
                      <a:noFill/>
                    </a:ln>
                  </pic:spPr>
                </pic:pic>
              </a:graphicData>
            </a:graphic>
          </wp:inline>
        </w:drawing>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b/>
          <w:bCs/>
          <w:sz w:val="24"/>
          <w:szCs w:val="24"/>
          <w:lang w:eastAsia="it-IT"/>
        </w:rPr>
        <w:t>L’Italia della frode fiscale</w:t>
      </w:r>
      <w:r w:rsidRPr="003535E3">
        <w:rPr>
          <w:rFonts w:ascii="Times New Roman" w:eastAsia="Times New Roman" w:hAnsi="Times New Roman" w:cs="Times New Roman"/>
          <w:sz w:val="24"/>
          <w:szCs w:val="24"/>
          <w:lang w:eastAsia="it-IT"/>
        </w:rPr>
        <w:t xml:space="preserve"> è raccontata nella </w:t>
      </w:r>
      <w:r w:rsidRPr="003535E3">
        <w:rPr>
          <w:rFonts w:ascii="Times New Roman" w:eastAsia="Times New Roman" w:hAnsi="Times New Roman" w:cs="Times New Roman"/>
          <w:i/>
          <w:iCs/>
          <w:sz w:val="24"/>
          <w:szCs w:val="24"/>
          <w:lang w:eastAsia="it-IT"/>
        </w:rPr>
        <w:t>“Relazione sull’economia non osservata e sull’evasione fiscale e contributiva - anno 2019 - del Ministero dell’economia”</w:t>
      </w:r>
      <w:r w:rsidRPr="003535E3">
        <w:rPr>
          <w:rFonts w:ascii="Times New Roman" w:eastAsia="Times New Roman" w:hAnsi="Times New Roman" w:cs="Times New Roman"/>
          <w:sz w:val="24"/>
          <w:szCs w:val="24"/>
          <w:lang w:eastAsia="it-IT"/>
        </w:rPr>
        <w:t xml:space="preserve">. Si legge che l’evasione media (2014-2016) è di 110 miliardi l’anno. Di cui, oltre 98 miliardi di mancate entrate tributarie e quasi 12 Mld di mancate entrate contributive. Stima parziale, perché riguarda solo le principali imposte: IVA, IRES, IRPEF, addizionali locali, IRAP, IMU, TASI, accise sui prodotti energetici, canone RAI. Rappresentano circa l’87,5% del gettito tributario potenzialmente evadibile. Pur con questi limiti metodologici, siamo di fronte a una montagna di soldi che l’erario e l’Inps non incassano. Tra elusione internazionale e frode fiscale, alle casse dello Stato vengono a mancare circa 116Mld all’anno. </w:t>
      </w:r>
      <w:r w:rsidRPr="003535E3">
        <w:rPr>
          <w:rFonts w:ascii="Times New Roman" w:eastAsia="Times New Roman" w:hAnsi="Times New Roman" w:cs="Times New Roman"/>
          <w:i/>
          <w:iCs/>
          <w:sz w:val="24"/>
          <w:szCs w:val="24"/>
          <w:lang w:eastAsia="it-IT"/>
        </w:rPr>
        <w:t>(Fig.n.1)</w:t>
      </w:r>
      <w:r w:rsidRPr="003535E3">
        <w:rPr>
          <w:rFonts w:ascii="Times New Roman" w:eastAsia="Times New Roman" w:hAnsi="Times New Roman" w:cs="Times New Roman"/>
          <w:sz w:val="24"/>
          <w:szCs w:val="24"/>
          <w:lang w:eastAsia="it-IT"/>
        </w:rPr>
        <w:t xml:space="preserve">. L’IVA è l’imposta più evasa in Italia. Nello stesso tempo, il nostro Paese è al settimo posto tra i Paesi europei dell’area occidentale quanto a pressione fiscale complessiva (comprensiva dell’ammontare delle imposte dirette, indirette, in conto capitale e dei contributi sociali in rapporto al Pil). (Nota: ci permettiamo ricordare che quando si parla di evasione </w:t>
      </w:r>
      <w:r w:rsidRPr="003535E3">
        <w:rPr>
          <w:rFonts w:ascii="Times New Roman" w:eastAsia="Times New Roman" w:hAnsi="Times New Roman" w:cs="Times New Roman"/>
          <w:i/>
          <w:iCs/>
          <w:sz w:val="24"/>
          <w:szCs w:val="24"/>
          <w:lang w:eastAsia="it-IT"/>
        </w:rPr>
        <w:t>(tax gap)</w:t>
      </w:r>
      <w:r w:rsidRPr="003535E3">
        <w:rPr>
          <w:rFonts w:ascii="Times New Roman" w:eastAsia="Times New Roman" w:hAnsi="Times New Roman" w:cs="Times New Roman"/>
          <w:sz w:val="24"/>
          <w:szCs w:val="24"/>
          <w:lang w:eastAsia="it-IT"/>
        </w:rPr>
        <w:t>, si parla di importi stimati. Si fa riferimento al divario tra gettito teorico e gettito effettivo dell’imposta. Si tratta, pertanto, di un rapporto che definisce l’ampiezza dell’inadempimento dei contribuenti. Invece, per quanto riguarda la pressione fiscale, è bene tenere conto che si tratta di un indicatore medio. Il quale risulta dal rapporto gettito fiscale/PIL e rappresenta una media complessiva della pressione fiscale per tutti i tipi di reddito. Può accadere, perciò, che alcune categorie di contribuenti hanno un livello di tassazione superiore a quello rilevato, o anche più basso). </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p>
    <w:p w:rsidR="003535E3" w:rsidRPr="003535E3" w:rsidRDefault="005C6294"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noProof/>
          <w:sz w:val="24"/>
          <w:szCs w:val="24"/>
          <w:lang w:eastAsia="it-IT"/>
        </w:rPr>
        <w:lastRenderedPageBreak/>
        <w:drawing>
          <wp:anchor distT="0" distB="0" distL="114300" distR="114300" simplePos="0" relativeHeight="251659264" behindDoc="0" locked="0" layoutInCell="1" allowOverlap="1" wp14:anchorId="203130E9">
            <wp:simplePos x="0" y="0"/>
            <wp:positionH relativeFrom="column">
              <wp:posOffset>3810</wp:posOffset>
            </wp:positionH>
            <wp:positionV relativeFrom="paragraph">
              <wp:posOffset>-1043305</wp:posOffset>
            </wp:positionV>
            <wp:extent cx="3790950" cy="3019425"/>
            <wp:effectExtent l="0" t="0" r="0" b="9525"/>
            <wp:wrapSquare wrapText="bothSides"/>
            <wp:docPr id="12" name="Immagin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3019425"/>
                    </a:xfrm>
                    <a:prstGeom prst="rect">
                      <a:avLst/>
                    </a:prstGeom>
                    <a:noFill/>
                    <a:ln>
                      <a:noFill/>
                    </a:ln>
                  </pic:spPr>
                </pic:pic>
              </a:graphicData>
            </a:graphic>
          </wp:anchor>
        </w:drawing>
      </w:r>
      <w:r w:rsidR="003535E3" w:rsidRPr="003535E3">
        <w:rPr>
          <w:rFonts w:ascii="Times New Roman" w:eastAsia="Times New Roman" w:hAnsi="Times New Roman" w:cs="Times New Roman"/>
          <w:sz w:val="24"/>
          <w:szCs w:val="24"/>
          <w:lang w:eastAsia="it-IT"/>
        </w:rPr>
        <w:t xml:space="preserve">Con la Figura n.2 ci proponiamo di esporre in maniera più semplice il concetto. Almeno questa è l’intenzione. Senza nessuna pretesa di voler rappresentare una correlazione fra i due fenomeni. </w:t>
      </w:r>
      <w:proofErr w:type="gramStart"/>
      <w:r w:rsidR="003535E3" w:rsidRPr="003535E3">
        <w:rPr>
          <w:rFonts w:ascii="Times New Roman" w:eastAsia="Times New Roman" w:hAnsi="Times New Roman" w:cs="Times New Roman"/>
          <w:sz w:val="24"/>
          <w:szCs w:val="24"/>
          <w:lang w:eastAsia="it-IT"/>
        </w:rPr>
        <w:t>E’</w:t>
      </w:r>
      <w:proofErr w:type="gramEnd"/>
      <w:r w:rsidR="003535E3" w:rsidRPr="003535E3">
        <w:rPr>
          <w:rFonts w:ascii="Times New Roman" w:eastAsia="Times New Roman" w:hAnsi="Times New Roman" w:cs="Times New Roman"/>
          <w:sz w:val="24"/>
          <w:szCs w:val="24"/>
          <w:lang w:eastAsia="it-IT"/>
        </w:rPr>
        <w:t xml:space="preserve"> argomento troppo complesso questo per poterlo esporre in un articolo. Pertanto, non si possono trarre conclusioni affrettate. Ne discutono da tempo specialisti del settore. Ma meriterebbe un largo dibattito e riflessioni approfondite anche fra i cittadini, soprattutto in preparazione di quella Riforma del sistema fiscale sempre annunciata e mai portata a compimento. </w:t>
      </w:r>
    </w:p>
    <w:p w:rsidR="003535E3" w:rsidRPr="003535E3" w:rsidRDefault="003535E3" w:rsidP="003535E3">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3535E3">
        <w:rPr>
          <w:rFonts w:ascii="Times New Roman" w:eastAsia="Times New Roman" w:hAnsi="Times New Roman" w:cs="Times New Roman"/>
          <w:b/>
          <w:bCs/>
          <w:sz w:val="27"/>
          <w:szCs w:val="27"/>
          <w:lang w:eastAsia="it-IT"/>
        </w:rPr>
        <w:t>Che cosa si può fare?</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 xml:space="preserve">Gli studiosi del settore dicono che si può bloccare la spirale di elusioni da trasferimenti nei paradisi fiscali. Pensano a un “catasto” mondiale dei patrimoni finanziari per poter seguire tutti i movimenti e, in casi anomali, intervenire con sanzioni. La prima azione da intraprendere sarebbe quella di riunire le banche dati dei titoli informatizzati </w:t>
      </w:r>
      <w:r w:rsidRPr="003535E3">
        <w:rPr>
          <w:rFonts w:ascii="Times New Roman" w:eastAsia="Times New Roman" w:hAnsi="Times New Roman" w:cs="Times New Roman"/>
          <w:i/>
          <w:iCs/>
          <w:sz w:val="24"/>
          <w:szCs w:val="24"/>
          <w:lang w:eastAsia="it-IT"/>
        </w:rPr>
        <w:t xml:space="preserve">(Cfr. G. </w:t>
      </w:r>
      <w:proofErr w:type="spellStart"/>
      <w:r w:rsidRPr="003535E3">
        <w:rPr>
          <w:rFonts w:ascii="Times New Roman" w:eastAsia="Times New Roman" w:hAnsi="Times New Roman" w:cs="Times New Roman"/>
          <w:i/>
          <w:iCs/>
          <w:sz w:val="24"/>
          <w:szCs w:val="24"/>
          <w:lang w:eastAsia="it-IT"/>
        </w:rPr>
        <w:t>Zucman</w:t>
      </w:r>
      <w:proofErr w:type="spellEnd"/>
      <w:r w:rsidRPr="003535E3">
        <w:rPr>
          <w:rFonts w:ascii="Times New Roman" w:eastAsia="Times New Roman" w:hAnsi="Times New Roman" w:cs="Times New Roman"/>
          <w:i/>
          <w:iCs/>
          <w:sz w:val="24"/>
          <w:szCs w:val="24"/>
          <w:lang w:eastAsia="it-IT"/>
        </w:rPr>
        <w:t>, La ricchezza nascosta delle nazioni ADD Ed,2017, Kindle)</w:t>
      </w:r>
      <w:r w:rsidRPr="003535E3">
        <w:rPr>
          <w:rFonts w:ascii="Times New Roman" w:eastAsia="Times New Roman" w:hAnsi="Times New Roman" w:cs="Times New Roman"/>
          <w:sz w:val="24"/>
          <w:szCs w:val="24"/>
          <w:lang w:eastAsia="it-IT"/>
        </w:rPr>
        <w:t xml:space="preserve">. E l’OCSE, in materia, punta alla trasparenza e alla certezza del diritto. L’Ue, a sua volta, ritiene indispensabile fermare la sotterranea concorrenza tra economie che si sviluppa a colpi di agevolazioni, esenzioni. </w:t>
      </w:r>
      <w:r w:rsidRPr="003535E3">
        <w:rPr>
          <w:rFonts w:ascii="Times New Roman" w:eastAsia="Times New Roman" w:hAnsi="Times New Roman" w:cs="Times New Roman"/>
          <w:i/>
          <w:iCs/>
          <w:sz w:val="24"/>
          <w:szCs w:val="24"/>
          <w:lang w:eastAsia="it-IT"/>
        </w:rPr>
        <w:t>(V. Parlamento europeo: Relazione sui reati finanziari, l'evasione fiscale e l'elusione fiscale (2018/2121-INI-)</w:t>
      </w:r>
      <w:r w:rsidRPr="003535E3">
        <w:rPr>
          <w:rFonts w:ascii="Times New Roman" w:eastAsia="Times New Roman" w:hAnsi="Times New Roman" w:cs="Times New Roman"/>
          <w:sz w:val="24"/>
          <w:szCs w:val="24"/>
          <w:lang w:eastAsia="it-IT"/>
        </w:rPr>
        <w:t xml:space="preserve">. Operazioni difficili, però, perché è ancora troppo lontana l’unità politica dell’Europa, quella che potrebbe consentire anche una politica fiscale comune. Operazioni difficili per la lungaggine dei negoziati fra i Governi (28/27?). Ad aggirare queste difficoltà sembrano voler supplire alcune idee del noto economista francese Thomas </w:t>
      </w:r>
      <w:proofErr w:type="spellStart"/>
      <w:r w:rsidRPr="003535E3">
        <w:rPr>
          <w:rFonts w:ascii="Times New Roman" w:eastAsia="Times New Roman" w:hAnsi="Times New Roman" w:cs="Times New Roman"/>
          <w:sz w:val="24"/>
          <w:szCs w:val="24"/>
          <w:lang w:eastAsia="it-IT"/>
        </w:rPr>
        <w:t>Piketty</w:t>
      </w:r>
      <w:proofErr w:type="spellEnd"/>
      <w:r w:rsidRPr="003535E3">
        <w:rPr>
          <w:rFonts w:ascii="Times New Roman" w:eastAsia="Times New Roman" w:hAnsi="Times New Roman" w:cs="Times New Roman"/>
          <w:sz w:val="24"/>
          <w:szCs w:val="24"/>
          <w:lang w:eastAsia="it-IT"/>
        </w:rPr>
        <w:t xml:space="preserve">. Che propone una struttura assembleare, da affiancare alle istituzioni europee, che possa decidere su alcune principali imposte comuni per ricavarne circa il 4% del Pil. Un gettito per finanziare un budget europeo a sostegno non solo di investimenti e crescita, ma anche per l'accoglienza e l'integrazione dei migranti. Idee che già furono diffuse nel “Manifesto per la democratizzazione dell’Europa”, nel mese di dicembre 2018, e che ora sono riprese, con più dettagli, nel nuovo volume di T. </w:t>
      </w:r>
      <w:proofErr w:type="spellStart"/>
      <w:r w:rsidRPr="003535E3">
        <w:rPr>
          <w:rFonts w:ascii="Times New Roman" w:eastAsia="Times New Roman" w:hAnsi="Times New Roman" w:cs="Times New Roman"/>
          <w:sz w:val="24"/>
          <w:szCs w:val="24"/>
          <w:lang w:eastAsia="it-IT"/>
        </w:rPr>
        <w:t>Piketty</w:t>
      </w:r>
      <w:proofErr w:type="spellEnd"/>
      <w:r w:rsidRPr="003535E3">
        <w:rPr>
          <w:rFonts w:ascii="Times New Roman" w:eastAsia="Times New Roman" w:hAnsi="Times New Roman" w:cs="Times New Roman"/>
          <w:sz w:val="24"/>
          <w:szCs w:val="24"/>
          <w:lang w:eastAsia="it-IT"/>
        </w:rPr>
        <w:t xml:space="preserve">: </w:t>
      </w:r>
      <w:r w:rsidRPr="003535E3">
        <w:rPr>
          <w:rFonts w:ascii="Times New Roman" w:eastAsia="Times New Roman" w:hAnsi="Times New Roman" w:cs="Times New Roman"/>
          <w:i/>
          <w:iCs/>
          <w:sz w:val="24"/>
          <w:szCs w:val="24"/>
          <w:lang w:eastAsia="it-IT"/>
        </w:rPr>
        <w:t xml:space="preserve">“Capital et </w:t>
      </w:r>
      <w:proofErr w:type="spellStart"/>
      <w:r w:rsidRPr="003535E3">
        <w:rPr>
          <w:rFonts w:ascii="Times New Roman" w:eastAsia="Times New Roman" w:hAnsi="Times New Roman" w:cs="Times New Roman"/>
          <w:i/>
          <w:iCs/>
          <w:sz w:val="24"/>
          <w:szCs w:val="24"/>
          <w:lang w:eastAsia="it-IT"/>
        </w:rPr>
        <w:t>idéologie</w:t>
      </w:r>
      <w:proofErr w:type="spellEnd"/>
      <w:r w:rsidRPr="003535E3">
        <w:rPr>
          <w:rFonts w:ascii="Times New Roman" w:eastAsia="Times New Roman" w:hAnsi="Times New Roman" w:cs="Times New Roman"/>
          <w:i/>
          <w:iCs/>
          <w:sz w:val="24"/>
          <w:szCs w:val="24"/>
          <w:lang w:eastAsia="it-IT"/>
        </w:rPr>
        <w:t xml:space="preserve">, pp. 1033-1037. Ed. Le Seuil, </w:t>
      </w:r>
      <w:proofErr w:type="spellStart"/>
      <w:r w:rsidRPr="003535E3">
        <w:rPr>
          <w:rFonts w:ascii="Times New Roman" w:eastAsia="Times New Roman" w:hAnsi="Times New Roman" w:cs="Times New Roman"/>
          <w:i/>
          <w:iCs/>
          <w:sz w:val="24"/>
          <w:szCs w:val="24"/>
          <w:lang w:eastAsia="it-IT"/>
        </w:rPr>
        <w:t>sept</w:t>
      </w:r>
      <w:proofErr w:type="spellEnd"/>
      <w:r w:rsidRPr="003535E3">
        <w:rPr>
          <w:rFonts w:ascii="Times New Roman" w:eastAsia="Times New Roman" w:hAnsi="Times New Roman" w:cs="Times New Roman"/>
          <w:i/>
          <w:iCs/>
          <w:sz w:val="24"/>
          <w:szCs w:val="24"/>
          <w:lang w:eastAsia="it-IT"/>
        </w:rPr>
        <w:t>. 2019)</w:t>
      </w:r>
      <w:r w:rsidRPr="003535E3">
        <w:rPr>
          <w:rFonts w:ascii="Times New Roman" w:eastAsia="Times New Roman" w:hAnsi="Times New Roman" w:cs="Times New Roman"/>
          <w:sz w:val="24"/>
          <w:szCs w:val="24"/>
          <w:lang w:eastAsia="it-IT"/>
        </w:rPr>
        <w:t>. In Europa il dibattito è molto acceso, tra favorevoli e contrari, a livello politico e accademico.</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Per intanto il percorso più realistico, sul quale cercare intese, pare quello di trovare accordi sul miglioramento dei sistemi fiscali dei singoli Stati, sull’ottimizzazione dell’interscambio delle informazioni, e sugli interventi che facilitino le attività degli operatori economici. </w:t>
      </w:r>
    </w:p>
    <w:p w:rsidR="003535E3" w:rsidRPr="003535E3" w:rsidRDefault="003535E3" w:rsidP="003535E3">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3535E3">
        <w:rPr>
          <w:rFonts w:ascii="Times New Roman" w:eastAsia="Times New Roman" w:hAnsi="Times New Roman" w:cs="Times New Roman"/>
          <w:b/>
          <w:bCs/>
          <w:sz w:val="27"/>
          <w:szCs w:val="27"/>
          <w:lang w:eastAsia="it-IT"/>
        </w:rPr>
        <w:t>Cambiare gli strumenti operativi</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Si racconta che Stewart Brand, un personaggio divenuto leggendario nel campo delle tecnologie informatiche, una volta abbia detto:</w:t>
      </w:r>
      <w:r w:rsidRPr="003535E3">
        <w:rPr>
          <w:rFonts w:ascii="Times New Roman" w:eastAsia="Times New Roman" w:hAnsi="Times New Roman" w:cs="Times New Roman"/>
          <w:i/>
          <w:iCs/>
          <w:sz w:val="24"/>
          <w:szCs w:val="24"/>
          <w:lang w:eastAsia="it-IT"/>
        </w:rPr>
        <w:t xml:space="preserve"> «Molte persone provano a cambiare la natura degli umani, ma è davvero una perdita di tempo. Non puoi cambiare la natura degli umani; quello che puoi fare è cambiare gli strumenti che usano, cambiare le tecniche. Allora, cambierai la civiltà»</w:t>
      </w:r>
      <w:r w:rsidRPr="003535E3">
        <w:rPr>
          <w:rFonts w:ascii="Times New Roman" w:eastAsia="Times New Roman" w:hAnsi="Times New Roman" w:cs="Times New Roman"/>
          <w:sz w:val="24"/>
          <w:szCs w:val="24"/>
          <w:lang w:eastAsia="it-IT"/>
        </w:rPr>
        <w:t xml:space="preserve">: (Riferita in: A. Baricco, </w:t>
      </w:r>
      <w:r w:rsidRPr="003535E3">
        <w:rPr>
          <w:rFonts w:ascii="Times New Roman" w:eastAsia="Times New Roman" w:hAnsi="Times New Roman" w:cs="Times New Roman"/>
          <w:i/>
          <w:iCs/>
          <w:sz w:val="24"/>
          <w:szCs w:val="24"/>
          <w:lang w:eastAsia="it-IT"/>
        </w:rPr>
        <w:t>The Game, p.108, Einaudi, 2018</w:t>
      </w:r>
      <w:r w:rsidRPr="003535E3">
        <w:rPr>
          <w:rFonts w:ascii="Times New Roman" w:eastAsia="Times New Roman" w:hAnsi="Times New Roman" w:cs="Times New Roman"/>
          <w:sz w:val="24"/>
          <w:szCs w:val="24"/>
          <w:lang w:eastAsia="it-IT"/>
        </w:rPr>
        <w:t xml:space="preserve">). Non siamo del tutto d’accordo. Siamo più ottimisti sull’evoluzione della natura umana. Perché a definire i comportamenti delle persone sono talune </w:t>
      </w:r>
      <w:r w:rsidRPr="003535E3">
        <w:rPr>
          <w:rFonts w:ascii="Times New Roman" w:eastAsia="Times New Roman" w:hAnsi="Times New Roman" w:cs="Times New Roman"/>
          <w:sz w:val="24"/>
          <w:szCs w:val="24"/>
          <w:lang w:eastAsia="it-IT"/>
        </w:rPr>
        <w:lastRenderedPageBreak/>
        <w:t xml:space="preserve">variabili socio-culturali e politiche: l’educazione familiare, le iniziative di formazione dello Stato, una più diffusa cultura della legalità. Fattori che possono andare di pari passo con l’altra idea e che condividiamo: cioè che gli strumenti coi quali gli uomini devono operare hanno una funzione importante nel guidarli verso condotte più rispettose di obblighi cui sono tenuti. Nel rispetto della privacy di ciascuno possono essere strumenti per la migliore redistribuzione della ricchezza nel modo più legittimo e giusto: pagare tutti il dovuto fiscale. Per restare al nostro argomento, tutto è strettamente legato alla creazione di basi informative in grado di tracciare le transazioni. Per esempio: la dichiarazione dei redditi precompilata, la fatturazione elettronica, l’uso del </w:t>
      </w:r>
      <w:proofErr w:type="spellStart"/>
      <w:r w:rsidRPr="003535E3">
        <w:rPr>
          <w:rFonts w:ascii="Times New Roman" w:eastAsia="Times New Roman" w:hAnsi="Times New Roman" w:cs="Times New Roman"/>
          <w:sz w:val="24"/>
          <w:szCs w:val="24"/>
          <w:lang w:eastAsia="it-IT"/>
        </w:rPr>
        <w:t>Pos</w:t>
      </w:r>
      <w:proofErr w:type="spellEnd"/>
      <w:r w:rsidRPr="003535E3">
        <w:rPr>
          <w:rFonts w:ascii="Times New Roman" w:eastAsia="Times New Roman" w:hAnsi="Times New Roman" w:cs="Times New Roman"/>
          <w:sz w:val="24"/>
          <w:szCs w:val="24"/>
          <w:lang w:eastAsia="it-IT"/>
        </w:rPr>
        <w:t xml:space="preserve"> (acronimo dall’inglese: </w:t>
      </w:r>
      <w:r w:rsidRPr="003535E3">
        <w:rPr>
          <w:rFonts w:ascii="Times New Roman" w:eastAsia="Times New Roman" w:hAnsi="Times New Roman" w:cs="Times New Roman"/>
          <w:i/>
          <w:iCs/>
          <w:sz w:val="24"/>
          <w:szCs w:val="24"/>
          <w:lang w:eastAsia="it-IT"/>
        </w:rPr>
        <w:t>Point of sale</w:t>
      </w:r>
      <w:r w:rsidRPr="003535E3">
        <w:rPr>
          <w:rFonts w:ascii="Times New Roman" w:eastAsia="Times New Roman" w:hAnsi="Times New Roman" w:cs="Times New Roman"/>
          <w:sz w:val="24"/>
          <w:szCs w:val="24"/>
          <w:lang w:eastAsia="it-IT"/>
        </w:rPr>
        <w:t>), lo scontrino elettronico, i pagamenti tracciati in luogo del contante, i registratori di cassa telematici, ecc. </w:t>
      </w:r>
    </w:p>
    <w:p w:rsidR="003535E3" w:rsidRPr="003535E3" w:rsidRDefault="003535E3" w:rsidP="003535E3">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3535E3">
        <w:rPr>
          <w:rFonts w:ascii="Times New Roman" w:eastAsia="Times New Roman" w:hAnsi="Times New Roman" w:cs="Times New Roman"/>
          <w:b/>
          <w:bCs/>
          <w:sz w:val="27"/>
          <w:szCs w:val="27"/>
          <w:lang w:eastAsia="it-IT"/>
        </w:rPr>
        <w:t>L'altra buona battaglia dei pensionati</w:t>
      </w:r>
    </w:p>
    <w:p w:rsidR="003535E3" w:rsidRPr="003535E3" w:rsidRDefault="003535E3" w:rsidP="003535E3">
      <w:pP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Combattiamo buone battaglie a difesa dei nostri diritti e della nostra dignità. Svolgiamo una buona attività divulgativa. Lo abbiamo detto prima. Ora, però, è giunto il tempo di fare anche qualcosa di più. Si tratta di insistere perché vengano realizzati i progetti che orientino le attività economiche verso la maggiore “trasparenza”. In maniera più concreta, possiamo fare queste cose: </w:t>
      </w:r>
    </w:p>
    <w:p w:rsidR="003535E3" w:rsidRPr="003535E3" w:rsidRDefault="003535E3" w:rsidP="003535E3">
      <w:pPr>
        <w:numPr>
          <w:ilvl w:val="0"/>
          <w:numId w:val="3"/>
        </w:numPr>
        <w:spacing w:before="100" w:beforeAutospacing="1" w:after="100" w:afterAutospacing="1"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disinnescare la “cortesia pelosa” di chi contrasta l’uso della moneta elettronica, adducendo come argomentazione contraria la scarsa attitudine delle persone anziane a impratichirsi delle tecnologie informatiche o, anche semplicemente, a utilizzare le carte di credito (dicono: i vecchi dimenticano il pin). (Non in nostro nome, grazie!). A parte il fatto che, a chi vuole, non è impedito utilizzare il contante, non può essere la pretestuosa tutela delle persone avanti negli anni il motivo fondamentale per rallentare l’ammodernamento degli strumenti di relazione nelle attività economiche;</w:t>
      </w:r>
    </w:p>
    <w:p w:rsidR="003535E3" w:rsidRPr="003535E3" w:rsidRDefault="003535E3" w:rsidP="003535E3">
      <w:pPr>
        <w:numPr>
          <w:ilvl w:val="0"/>
          <w:numId w:val="3"/>
        </w:numPr>
        <w:spacing w:before="100" w:beforeAutospacing="1" w:after="100" w:afterAutospacing="1"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diffondere informazioni delle “buone pratiche” utilizzate nel commercio, nelle attività professionali e artigianali;</w:t>
      </w:r>
    </w:p>
    <w:p w:rsidR="003535E3" w:rsidRPr="003535E3" w:rsidRDefault="003535E3" w:rsidP="003535E3">
      <w:pPr>
        <w:numPr>
          <w:ilvl w:val="0"/>
          <w:numId w:val="3"/>
        </w:numPr>
        <w:spacing w:before="100" w:beforeAutospacing="1" w:after="100" w:afterAutospacing="1"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promuovere iniziative, nel quadro delle attività di Federmanager/CIDA, dirette alla più diffusa utilizzazione degli strumenti informatici anche da parte degli anziani. </w:t>
      </w:r>
    </w:p>
    <w:p w:rsidR="003535E3" w:rsidRPr="003535E3" w:rsidRDefault="003535E3" w:rsidP="003535E3">
      <w:pPr>
        <w:pBdr>
          <w:bottom w:val="single" w:sz="6" w:space="1" w:color="auto"/>
        </w:pBdr>
        <w:spacing w:after="0" w:line="240" w:lineRule="auto"/>
        <w:rPr>
          <w:rFonts w:ascii="Times New Roman" w:eastAsia="Times New Roman" w:hAnsi="Times New Roman" w:cs="Times New Roman"/>
          <w:sz w:val="24"/>
          <w:szCs w:val="24"/>
          <w:lang w:eastAsia="it-IT"/>
        </w:rPr>
      </w:pPr>
      <w:r w:rsidRPr="003535E3">
        <w:rPr>
          <w:rFonts w:ascii="Times New Roman" w:eastAsia="Times New Roman" w:hAnsi="Times New Roman" w:cs="Times New Roman"/>
          <w:sz w:val="24"/>
          <w:szCs w:val="24"/>
          <w:lang w:eastAsia="it-IT"/>
        </w:rPr>
        <w:t>Dalle innovazioni tecnologiche di cui abbiamo detto ne potrà derivare – a nostro parere - una più equa distribuzione delle risorse e un minor carico fiscale su quelli che finiscono per pagare sempre più tasse al posto di quanti non le pagano; sicuramente ne apprezzeranno i vantaggi gli operatori onesti, che subiscono gli effetti pregiudizievoli connessi all’alterazione delle regole di concorrenza.</w:t>
      </w:r>
    </w:p>
    <w:p w:rsidR="005C6294" w:rsidRPr="005C6294" w:rsidRDefault="005C6294" w:rsidP="005C6294">
      <w:pPr>
        <w:spacing w:before="100" w:beforeAutospacing="1" w:after="100" w:afterAutospacing="1" w:line="240" w:lineRule="auto"/>
        <w:outlineLvl w:val="1"/>
        <w:rPr>
          <w:rFonts w:ascii="Times New Roman" w:eastAsia="Times New Roman" w:hAnsi="Times New Roman" w:cs="Times New Roman"/>
          <w:b/>
          <w:bCs/>
          <w:color w:val="002060"/>
          <w:sz w:val="36"/>
          <w:szCs w:val="36"/>
          <w:u w:val="single"/>
          <w:lang w:eastAsia="it-IT"/>
        </w:rPr>
      </w:pPr>
      <w:r w:rsidRPr="005C6294">
        <w:rPr>
          <w:rFonts w:ascii="Times New Roman" w:eastAsia="Times New Roman" w:hAnsi="Times New Roman" w:cs="Times New Roman"/>
          <w:b/>
          <w:bCs/>
          <w:color w:val="002060"/>
          <w:sz w:val="36"/>
          <w:szCs w:val="36"/>
          <w:u w:val="single"/>
          <w:lang w:eastAsia="it-IT"/>
        </w:rPr>
        <w:t>Previdenza, dentro e fuori il contratto</w:t>
      </w:r>
    </w:p>
    <w:p w:rsidR="005C6294" w:rsidRPr="005C6294" w:rsidRDefault="005C6294" w:rsidP="005C6294">
      <w:pPr>
        <w:spacing w:before="100" w:beforeAutospacing="1" w:after="100" w:afterAutospacing="1" w:line="240" w:lineRule="auto"/>
        <w:rPr>
          <w:rFonts w:ascii="Times New Roman" w:eastAsia="Times New Roman" w:hAnsi="Times New Roman" w:cs="Times New Roman"/>
          <w:sz w:val="24"/>
          <w:szCs w:val="24"/>
          <w:lang w:eastAsia="it-IT"/>
        </w:rPr>
      </w:pPr>
      <w:r w:rsidRPr="005C6294">
        <w:rPr>
          <w:rFonts w:ascii="Times New Roman" w:eastAsia="Times New Roman" w:hAnsi="Times New Roman" w:cs="Times New Roman"/>
          <w:sz w:val="24"/>
          <w:szCs w:val="24"/>
          <w:lang w:eastAsia="it-IT"/>
        </w:rPr>
        <w:t>La sostenibilità economico-finanziaria del nostro sistema previdenziale rischia di essere compromessa. La soluzione? Va trovata nella previdenza complementare.</w:t>
      </w:r>
    </w:p>
    <w:p w:rsidR="005C6294" w:rsidRPr="005C6294" w:rsidRDefault="005C6294" w:rsidP="005C6294">
      <w:pPr>
        <w:spacing w:after="0" w:line="240" w:lineRule="auto"/>
        <w:rPr>
          <w:rFonts w:ascii="Times New Roman" w:eastAsia="Times New Roman" w:hAnsi="Times New Roman" w:cs="Times New Roman"/>
          <w:sz w:val="24"/>
          <w:szCs w:val="24"/>
          <w:lang w:eastAsia="it-IT"/>
        </w:rPr>
      </w:pPr>
      <w:r w:rsidRPr="005C6294">
        <w:rPr>
          <w:rFonts w:ascii="Times New Roman" w:eastAsia="Times New Roman" w:hAnsi="Times New Roman" w:cs="Times New Roman"/>
          <w:noProof/>
          <w:sz w:val="24"/>
          <w:szCs w:val="24"/>
          <w:lang w:eastAsia="it-IT"/>
        </w:rPr>
        <w:lastRenderedPageBreak/>
        <w:drawing>
          <wp:anchor distT="0" distB="0" distL="114300" distR="114300" simplePos="0" relativeHeight="251661312" behindDoc="0" locked="0" layoutInCell="1" allowOverlap="1" wp14:anchorId="7734CFAC">
            <wp:simplePos x="0" y="0"/>
            <wp:positionH relativeFrom="column">
              <wp:posOffset>3810</wp:posOffset>
            </wp:positionH>
            <wp:positionV relativeFrom="paragraph">
              <wp:posOffset>0</wp:posOffset>
            </wp:positionV>
            <wp:extent cx="2917398" cy="3943350"/>
            <wp:effectExtent l="0" t="0" r="0" b="0"/>
            <wp:wrapSquare wrapText="bothSides"/>
            <wp:docPr id="15" name="Immagin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7398" cy="3943350"/>
                    </a:xfrm>
                    <a:prstGeom prst="rect">
                      <a:avLst/>
                    </a:prstGeom>
                    <a:noFill/>
                    <a:ln>
                      <a:noFill/>
                    </a:ln>
                  </pic:spPr>
                </pic:pic>
              </a:graphicData>
            </a:graphic>
          </wp:anchor>
        </w:drawing>
      </w:r>
      <w:hyperlink r:id="rId17" w:history="1">
        <w:r w:rsidRPr="005C6294">
          <w:rPr>
            <w:rFonts w:ascii="Times New Roman" w:eastAsia="Times New Roman" w:hAnsi="Times New Roman" w:cs="Times New Roman"/>
            <w:b/>
            <w:bCs/>
            <w:color w:val="0000FF"/>
            <w:sz w:val="24"/>
            <w:szCs w:val="24"/>
            <w:u w:val="single"/>
            <w:lang w:eastAsia="it-IT"/>
          </w:rPr>
          <w:t>Mario Cardoni </w:t>
        </w:r>
      </w:hyperlink>
    </w:p>
    <w:p w:rsidR="005C6294" w:rsidRPr="005C6294" w:rsidRDefault="005C6294" w:rsidP="005C6294">
      <w:pPr>
        <w:spacing w:after="0" w:line="240" w:lineRule="auto"/>
        <w:rPr>
          <w:rFonts w:ascii="Times New Roman" w:eastAsia="Times New Roman" w:hAnsi="Times New Roman" w:cs="Times New Roman"/>
          <w:sz w:val="24"/>
          <w:szCs w:val="24"/>
          <w:lang w:eastAsia="it-IT"/>
        </w:rPr>
      </w:pPr>
      <w:r w:rsidRPr="005C6294">
        <w:rPr>
          <w:rFonts w:ascii="Times New Roman" w:eastAsia="Times New Roman" w:hAnsi="Times New Roman" w:cs="Times New Roman"/>
          <w:i/>
          <w:iCs/>
          <w:sz w:val="24"/>
          <w:szCs w:val="24"/>
          <w:lang w:eastAsia="it-IT"/>
        </w:rPr>
        <w:t>Direttore Generale Federmanager</w:t>
      </w:r>
    </w:p>
    <w:p w:rsidR="005C6294" w:rsidRPr="005C6294" w:rsidRDefault="005C6294" w:rsidP="005C6294">
      <w:pPr>
        <w:spacing w:after="0" w:line="240" w:lineRule="auto"/>
        <w:rPr>
          <w:rFonts w:ascii="Times New Roman" w:eastAsia="Times New Roman" w:hAnsi="Times New Roman" w:cs="Times New Roman"/>
          <w:sz w:val="24"/>
          <w:szCs w:val="24"/>
          <w:lang w:eastAsia="it-IT"/>
        </w:rPr>
      </w:pPr>
      <w:r w:rsidRPr="005C6294">
        <w:rPr>
          <w:rFonts w:ascii="Times New Roman" w:eastAsia="Times New Roman" w:hAnsi="Times New Roman" w:cs="Times New Roman"/>
          <w:sz w:val="24"/>
          <w:szCs w:val="24"/>
          <w:lang w:eastAsia="it-IT"/>
        </w:rPr>
        <w:t>Quello legato alla pensione e al tenore di vita successivo alla cessazione dell’attività lavorativa costituisce certamente uno dei temi principali su cui confrontarci. Gli indicatori demografici ci rassicurano sul fatto che vivremo più a lungo, e auspicabilmente in salute; tuttavia, con il pesante deficit di bilancio pubblico, la sostenibilità economico-finanziaria del nostro sistema previdenziale rischia di essere compromessa. La mancata separazione della previdenza dall’assistenza mette in crisi i conti dell’Inps, che non solo sono esposti alla pressione di una spesa pensionistica destinata ad aumentare, ma soffrono già ora della riduzione delle entrate contributive, legata al proliferare dei lavori discontinui e all’ingresso ritardato delle nuove generazioni nel mondo del lavoro. È lecito ritenere che il sistema di previdenza pubblico, nel prossimo futuro, rappresenterà una ridotta percentuale dell’ultimo reddito percepito con ovvie ripercussioni sul tenore di vita da pensionato.</w:t>
      </w:r>
    </w:p>
    <w:p w:rsidR="005C6294" w:rsidRPr="005C6294" w:rsidRDefault="005C6294" w:rsidP="005C6294">
      <w:pPr>
        <w:spacing w:after="0" w:line="240" w:lineRule="auto"/>
        <w:rPr>
          <w:rFonts w:ascii="Times New Roman" w:eastAsia="Times New Roman" w:hAnsi="Times New Roman" w:cs="Times New Roman"/>
          <w:sz w:val="24"/>
          <w:szCs w:val="24"/>
          <w:lang w:eastAsia="it-IT"/>
        </w:rPr>
      </w:pPr>
    </w:p>
    <w:p w:rsidR="005C6294" w:rsidRPr="005C6294" w:rsidRDefault="005C6294" w:rsidP="005C6294">
      <w:pPr>
        <w:spacing w:after="0" w:line="240" w:lineRule="auto"/>
        <w:rPr>
          <w:rFonts w:ascii="Times New Roman" w:eastAsia="Times New Roman" w:hAnsi="Times New Roman" w:cs="Times New Roman"/>
          <w:sz w:val="24"/>
          <w:szCs w:val="24"/>
          <w:lang w:eastAsia="it-IT"/>
        </w:rPr>
      </w:pPr>
      <w:r w:rsidRPr="005C6294">
        <w:rPr>
          <w:rFonts w:ascii="Times New Roman" w:eastAsia="Times New Roman" w:hAnsi="Times New Roman" w:cs="Times New Roman"/>
          <w:sz w:val="24"/>
          <w:szCs w:val="24"/>
          <w:lang w:eastAsia="it-IT"/>
        </w:rPr>
        <w:t xml:space="preserve">Si dirà, la soluzione va trovata nella previdenza complementare, che però in Italia non è mai decollata. Guardiamo alle cause: mancano politiche di incentivo e manca un’adeguata cultura della gestione del risparmio privato. Manca soprattutto una strategia chiara, che sopperisca ai frequenti annunci di riforme pensionistiche prive di indirizzo politico. Ad esempio, la recente novità lanciata dal presidente Inps Pasquale </w:t>
      </w:r>
      <w:proofErr w:type="spellStart"/>
      <w:r w:rsidRPr="005C6294">
        <w:rPr>
          <w:rFonts w:ascii="Times New Roman" w:eastAsia="Times New Roman" w:hAnsi="Times New Roman" w:cs="Times New Roman"/>
          <w:sz w:val="24"/>
          <w:szCs w:val="24"/>
          <w:lang w:eastAsia="it-IT"/>
        </w:rPr>
        <w:t>Tridico</w:t>
      </w:r>
      <w:proofErr w:type="spellEnd"/>
      <w:r w:rsidRPr="005C6294">
        <w:rPr>
          <w:rFonts w:ascii="Times New Roman" w:eastAsia="Times New Roman" w:hAnsi="Times New Roman" w:cs="Times New Roman"/>
          <w:sz w:val="24"/>
          <w:szCs w:val="24"/>
          <w:lang w:eastAsia="it-IT"/>
        </w:rPr>
        <w:t>, vale a dire il progetto di un fondo previdenziale integrativo pubblico, gestito dall’Istituto, rappresenta un’ipotesi irricevibile, o quanto meno incapace di perseguire gli obiettivi per cui essa è stata presentata. Per canalizzare gli investimenti in Italia, bisognerebbe piuttosto lavorare per offrire ai fondi pensionistici privati le condizioni per investire in sicurezza nell’economia reale.</w:t>
      </w:r>
    </w:p>
    <w:p w:rsidR="005C6294" w:rsidRPr="005C6294" w:rsidRDefault="005C6294" w:rsidP="005C6294">
      <w:pPr>
        <w:spacing w:after="0" w:line="240" w:lineRule="auto"/>
        <w:rPr>
          <w:rFonts w:ascii="Times New Roman" w:eastAsia="Times New Roman" w:hAnsi="Times New Roman" w:cs="Times New Roman"/>
          <w:sz w:val="24"/>
          <w:szCs w:val="24"/>
          <w:lang w:eastAsia="it-IT"/>
        </w:rPr>
      </w:pPr>
      <w:r w:rsidRPr="005C6294">
        <w:rPr>
          <w:rFonts w:ascii="Times New Roman" w:eastAsia="Times New Roman" w:hAnsi="Times New Roman" w:cs="Times New Roman"/>
          <w:noProof/>
          <w:sz w:val="24"/>
          <w:szCs w:val="24"/>
          <w:lang w:eastAsia="it-IT"/>
        </w:rPr>
        <w:drawing>
          <wp:anchor distT="0" distB="0" distL="114300" distR="114300" simplePos="0" relativeHeight="251660288" behindDoc="0" locked="0" layoutInCell="1" allowOverlap="1" wp14:anchorId="400FF9FD">
            <wp:simplePos x="0" y="0"/>
            <wp:positionH relativeFrom="column">
              <wp:posOffset>3810</wp:posOffset>
            </wp:positionH>
            <wp:positionV relativeFrom="paragraph">
              <wp:posOffset>1905</wp:posOffset>
            </wp:positionV>
            <wp:extent cx="3200400" cy="3301747"/>
            <wp:effectExtent l="0" t="0" r="0" b="0"/>
            <wp:wrapSquare wrapText="bothSides"/>
            <wp:docPr id="16" name="Immagin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3301747"/>
                    </a:xfrm>
                    <a:prstGeom prst="rect">
                      <a:avLst/>
                    </a:prstGeom>
                    <a:noFill/>
                    <a:ln>
                      <a:noFill/>
                    </a:ln>
                  </pic:spPr>
                </pic:pic>
              </a:graphicData>
            </a:graphic>
          </wp:anchor>
        </w:drawing>
      </w:r>
    </w:p>
    <w:p w:rsidR="005C6294" w:rsidRPr="005C6294" w:rsidRDefault="005C6294" w:rsidP="005C6294">
      <w:pPr>
        <w:spacing w:after="0" w:line="240" w:lineRule="auto"/>
        <w:rPr>
          <w:rFonts w:ascii="Times New Roman" w:eastAsia="Times New Roman" w:hAnsi="Times New Roman" w:cs="Times New Roman"/>
          <w:sz w:val="24"/>
          <w:szCs w:val="24"/>
          <w:lang w:eastAsia="it-IT"/>
        </w:rPr>
      </w:pPr>
      <w:r w:rsidRPr="005C6294">
        <w:rPr>
          <w:rFonts w:ascii="Times New Roman" w:eastAsia="Times New Roman" w:hAnsi="Times New Roman" w:cs="Times New Roman"/>
          <w:sz w:val="24"/>
          <w:szCs w:val="24"/>
          <w:lang w:eastAsia="it-IT"/>
        </w:rPr>
        <w:t xml:space="preserve">Il Fondo pensione </w:t>
      </w:r>
      <w:proofErr w:type="spellStart"/>
      <w:r w:rsidRPr="005C6294">
        <w:rPr>
          <w:rFonts w:ascii="Times New Roman" w:eastAsia="Times New Roman" w:hAnsi="Times New Roman" w:cs="Times New Roman"/>
          <w:sz w:val="24"/>
          <w:szCs w:val="24"/>
          <w:lang w:eastAsia="it-IT"/>
        </w:rPr>
        <w:t>Previndai</w:t>
      </w:r>
      <w:proofErr w:type="spellEnd"/>
      <w:r w:rsidRPr="005C6294">
        <w:rPr>
          <w:rFonts w:ascii="Times New Roman" w:eastAsia="Times New Roman" w:hAnsi="Times New Roman" w:cs="Times New Roman"/>
          <w:sz w:val="24"/>
          <w:szCs w:val="24"/>
          <w:lang w:eastAsia="it-IT"/>
        </w:rPr>
        <w:t xml:space="preserve">, che tra qualche giorno celebrerà 30 anni di attività con un convegno a Roma, ha avviato un intervento strutturato in questa direzione. È un Fondo che sta abbracciando una nuova strategia di investimenti alternativi per dare linfa al sistema produttivo, e che è uscito rafforzato dal recente rinnovo del contratto nazionale dei manager. Il nuovo Ccnl firmato lo scorso 30 luglio ha previsto l’incremento del massimale contributivo al </w:t>
      </w:r>
      <w:proofErr w:type="spellStart"/>
      <w:r w:rsidRPr="005C6294">
        <w:rPr>
          <w:rFonts w:ascii="Times New Roman" w:eastAsia="Times New Roman" w:hAnsi="Times New Roman" w:cs="Times New Roman"/>
          <w:sz w:val="24"/>
          <w:szCs w:val="24"/>
          <w:lang w:eastAsia="it-IT"/>
        </w:rPr>
        <w:t>Previndai</w:t>
      </w:r>
      <w:proofErr w:type="spellEnd"/>
      <w:r w:rsidRPr="005C6294">
        <w:rPr>
          <w:rFonts w:ascii="Times New Roman" w:eastAsia="Times New Roman" w:hAnsi="Times New Roman" w:cs="Times New Roman"/>
          <w:sz w:val="24"/>
          <w:szCs w:val="24"/>
          <w:lang w:eastAsia="it-IT"/>
        </w:rPr>
        <w:t xml:space="preserve"> dagli attuali 150 mila a 180 mila euro annui. Soprattutto ha introdotto un principio di flessibilità nella ripartizione della contribuzione complessiva al Fondo (8% della retribuzione utile ai fini del calcolo del Tfr) che consentirà, previo accordo, che l’azienda si faccia carico di una quota </w:t>
      </w:r>
      <w:r w:rsidRPr="005C6294">
        <w:rPr>
          <w:rFonts w:ascii="Times New Roman" w:eastAsia="Times New Roman" w:hAnsi="Times New Roman" w:cs="Times New Roman"/>
          <w:sz w:val="24"/>
          <w:szCs w:val="24"/>
          <w:lang w:eastAsia="it-IT"/>
        </w:rPr>
        <w:lastRenderedPageBreak/>
        <w:t>contributiva fino al 7%, con diminuzione fino all’1% della parte che spetta al dirigente. Infine, ma dal 2022, non sarà più in vigore la clausola che richiede un’anzianità dirigenziale minima in azienda di 6 anni per avere diritto al versamento del contributo minimo a carico dell’azienda.</w:t>
      </w:r>
    </w:p>
    <w:p w:rsidR="005C6294" w:rsidRPr="005C6294" w:rsidRDefault="005C6294" w:rsidP="005C6294">
      <w:pPr>
        <w:spacing w:after="0" w:line="240" w:lineRule="auto"/>
        <w:rPr>
          <w:rFonts w:ascii="Times New Roman" w:eastAsia="Times New Roman" w:hAnsi="Times New Roman" w:cs="Times New Roman"/>
          <w:sz w:val="24"/>
          <w:szCs w:val="24"/>
          <w:lang w:eastAsia="it-IT"/>
        </w:rPr>
      </w:pPr>
    </w:p>
    <w:p w:rsidR="005C6294" w:rsidRPr="005C6294" w:rsidRDefault="005C6294" w:rsidP="005C6294">
      <w:pPr>
        <w:spacing w:after="0" w:line="240" w:lineRule="auto"/>
        <w:rPr>
          <w:rFonts w:ascii="Times New Roman" w:eastAsia="Times New Roman" w:hAnsi="Times New Roman" w:cs="Times New Roman"/>
          <w:sz w:val="24"/>
          <w:szCs w:val="24"/>
          <w:lang w:eastAsia="it-IT"/>
        </w:rPr>
      </w:pPr>
      <w:r w:rsidRPr="005C6294">
        <w:rPr>
          <w:rFonts w:ascii="Times New Roman" w:eastAsia="Times New Roman" w:hAnsi="Times New Roman" w:cs="Times New Roman"/>
          <w:sz w:val="24"/>
          <w:szCs w:val="24"/>
          <w:lang w:eastAsia="it-IT"/>
        </w:rPr>
        <w:t xml:space="preserve">Si tratta di misure fortemente innovative che consolidano la dotazione del </w:t>
      </w:r>
      <w:proofErr w:type="spellStart"/>
      <w:r w:rsidRPr="005C6294">
        <w:rPr>
          <w:rFonts w:ascii="Times New Roman" w:eastAsia="Times New Roman" w:hAnsi="Times New Roman" w:cs="Times New Roman"/>
          <w:sz w:val="24"/>
          <w:szCs w:val="24"/>
          <w:lang w:eastAsia="it-IT"/>
        </w:rPr>
        <w:t>Previndai</w:t>
      </w:r>
      <w:proofErr w:type="spellEnd"/>
      <w:r w:rsidRPr="005C6294">
        <w:rPr>
          <w:rFonts w:ascii="Times New Roman" w:eastAsia="Times New Roman" w:hAnsi="Times New Roman" w:cs="Times New Roman"/>
          <w:sz w:val="24"/>
          <w:szCs w:val="24"/>
          <w:lang w:eastAsia="it-IT"/>
        </w:rPr>
        <w:t>, facendone un interessante strumento di politica retributiva per il manager.</w:t>
      </w:r>
    </w:p>
    <w:p w:rsidR="003535E3" w:rsidRDefault="003535E3"/>
    <w:p w:rsidR="003535E3" w:rsidRDefault="003535E3"/>
    <w:sectPr w:rsidR="003535E3" w:rsidSect="003A5915">
      <w:headerReference w:type="even" r:id="rId19"/>
      <w:headerReference w:type="default" r:id="rId20"/>
      <w:footerReference w:type="even" r:id="rId21"/>
      <w:footerReference w:type="default" r:id="rId22"/>
      <w:headerReference w:type="first" r:id="rId23"/>
      <w:footerReference w:type="first" r:id="rId24"/>
      <w:pgSz w:w="11906" w:h="16838" w:code="9"/>
      <w:pgMar w:top="119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5FA" w:rsidRDefault="005715FA" w:rsidP="003A5915">
      <w:pPr>
        <w:spacing w:after="0" w:line="240" w:lineRule="auto"/>
      </w:pPr>
      <w:r>
        <w:separator/>
      </w:r>
    </w:p>
  </w:endnote>
  <w:endnote w:type="continuationSeparator" w:id="0">
    <w:p w:rsidR="005715FA" w:rsidRDefault="005715FA" w:rsidP="003A5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15" w:rsidRDefault="003A591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093615"/>
      <w:docPartObj>
        <w:docPartGallery w:val="Page Numbers (Bottom of Page)"/>
        <w:docPartUnique/>
      </w:docPartObj>
    </w:sdtPr>
    <w:sdtContent>
      <w:bookmarkStart w:id="0" w:name="_GoBack" w:displacedByCustomXml="prev"/>
      <w:bookmarkEnd w:id="0" w:displacedByCustomXml="prev"/>
      <w:p w:rsidR="003A5915" w:rsidRDefault="003A5915">
        <w:pPr>
          <w:pStyle w:val="Pidipagina"/>
          <w:jc w:val="right"/>
        </w:pPr>
        <w:r>
          <w:fldChar w:fldCharType="begin"/>
        </w:r>
        <w:r>
          <w:instrText>PAGE   \* MERGEFORMAT</w:instrText>
        </w:r>
        <w:r>
          <w:fldChar w:fldCharType="separate"/>
        </w:r>
        <w:r>
          <w:t>2</w:t>
        </w:r>
        <w:r>
          <w:fldChar w:fldCharType="end"/>
        </w:r>
      </w:p>
    </w:sdtContent>
  </w:sdt>
  <w:p w:rsidR="003A5915" w:rsidRDefault="003A591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15" w:rsidRDefault="003A591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5FA" w:rsidRDefault="005715FA" w:rsidP="003A5915">
      <w:pPr>
        <w:spacing w:after="0" w:line="240" w:lineRule="auto"/>
      </w:pPr>
      <w:r>
        <w:separator/>
      </w:r>
    </w:p>
  </w:footnote>
  <w:footnote w:type="continuationSeparator" w:id="0">
    <w:p w:rsidR="005715FA" w:rsidRDefault="005715FA" w:rsidP="003A5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15" w:rsidRDefault="003A591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15" w:rsidRDefault="003A591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15" w:rsidRDefault="003A591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34C38"/>
    <w:multiLevelType w:val="multilevel"/>
    <w:tmpl w:val="6CDCB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206099"/>
    <w:multiLevelType w:val="multilevel"/>
    <w:tmpl w:val="4EA6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EE4CCC"/>
    <w:multiLevelType w:val="multilevel"/>
    <w:tmpl w:val="EBEE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55A"/>
    <w:rsid w:val="001368BA"/>
    <w:rsid w:val="0023223E"/>
    <w:rsid w:val="003535E3"/>
    <w:rsid w:val="003A5915"/>
    <w:rsid w:val="004D655A"/>
    <w:rsid w:val="005715FA"/>
    <w:rsid w:val="005C62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4A0FB-577F-466D-8D8F-345633F7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riga">
    <w:name w:val="line number"/>
    <w:basedOn w:val="Carpredefinitoparagrafo"/>
    <w:uiPriority w:val="99"/>
    <w:semiHidden/>
    <w:unhideWhenUsed/>
    <w:rsid w:val="003A5915"/>
  </w:style>
  <w:style w:type="paragraph" w:styleId="Intestazione">
    <w:name w:val="header"/>
    <w:basedOn w:val="Normale"/>
    <w:link w:val="IntestazioneCarattere"/>
    <w:uiPriority w:val="99"/>
    <w:unhideWhenUsed/>
    <w:rsid w:val="003A591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5915"/>
  </w:style>
  <w:style w:type="paragraph" w:styleId="Pidipagina">
    <w:name w:val="footer"/>
    <w:basedOn w:val="Normale"/>
    <w:link w:val="PidipaginaCarattere"/>
    <w:uiPriority w:val="99"/>
    <w:unhideWhenUsed/>
    <w:rsid w:val="003A591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A5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942637">
      <w:bodyDiv w:val="1"/>
      <w:marLeft w:val="0"/>
      <w:marRight w:val="0"/>
      <w:marTop w:val="0"/>
      <w:marBottom w:val="0"/>
      <w:divBdr>
        <w:top w:val="none" w:sz="0" w:space="0" w:color="auto"/>
        <w:left w:val="none" w:sz="0" w:space="0" w:color="auto"/>
        <w:bottom w:val="none" w:sz="0" w:space="0" w:color="auto"/>
        <w:right w:val="none" w:sz="0" w:space="0" w:color="auto"/>
      </w:divBdr>
      <w:divsChild>
        <w:div w:id="701710385">
          <w:marLeft w:val="0"/>
          <w:marRight w:val="0"/>
          <w:marTop w:val="0"/>
          <w:marBottom w:val="0"/>
          <w:divBdr>
            <w:top w:val="none" w:sz="0" w:space="0" w:color="auto"/>
            <w:left w:val="none" w:sz="0" w:space="0" w:color="auto"/>
            <w:bottom w:val="none" w:sz="0" w:space="0" w:color="auto"/>
            <w:right w:val="none" w:sz="0" w:space="0" w:color="auto"/>
          </w:divBdr>
        </w:div>
        <w:div w:id="1002053269">
          <w:marLeft w:val="0"/>
          <w:marRight w:val="0"/>
          <w:marTop w:val="0"/>
          <w:marBottom w:val="0"/>
          <w:divBdr>
            <w:top w:val="none" w:sz="0" w:space="0" w:color="auto"/>
            <w:left w:val="none" w:sz="0" w:space="0" w:color="auto"/>
            <w:bottom w:val="none" w:sz="0" w:space="0" w:color="auto"/>
            <w:right w:val="none" w:sz="0" w:space="0" w:color="auto"/>
          </w:divBdr>
        </w:div>
        <w:div w:id="226379438">
          <w:marLeft w:val="0"/>
          <w:marRight w:val="0"/>
          <w:marTop w:val="0"/>
          <w:marBottom w:val="0"/>
          <w:divBdr>
            <w:top w:val="none" w:sz="0" w:space="0" w:color="auto"/>
            <w:left w:val="none" w:sz="0" w:space="0" w:color="auto"/>
            <w:bottom w:val="none" w:sz="0" w:space="0" w:color="auto"/>
            <w:right w:val="none" w:sz="0" w:space="0" w:color="auto"/>
          </w:divBdr>
          <w:divsChild>
            <w:div w:id="1441071968">
              <w:marLeft w:val="0"/>
              <w:marRight w:val="0"/>
              <w:marTop w:val="0"/>
              <w:marBottom w:val="0"/>
              <w:divBdr>
                <w:top w:val="none" w:sz="0" w:space="0" w:color="auto"/>
                <w:left w:val="none" w:sz="0" w:space="0" w:color="auto"/>
                <w:bottom w:val="none" w:sz="0" w:space="0" w:color="auto"/>
                <w:right w:val="none" w:sz="0" w:space="0" w:color="auto"/>
              </w:divBdr>
            </w:div>
            <w:div w:id="2061053448">
              <w:marLeft w:val="0"/>
              <w:marRight w:val="0"/>
              <w:marTop w:val="0"/>
              <w:marBottom w:val="0"/>
              <w:divBdr>
                <w:top w:val="none" w:sz="0" w:space="0" w:color="auto"/>
                <w:left w:val="none" w:sz="0" w:space="0" w:color="auto"/>
                <w:bottom w:val="none" w:sz="0" w:space="0" w:color="auto"/>
                <w:right w:val="none" w:sz="0" w:space="0" w:color="auto"/>
              </w:divBdr>
            </w:div>
            <w:div w:id="1828665756">
              <w:marLeft w:val="0"/>
              <w:marRight w:val="0"/>
              <w:marTop w:val="0"/>
              <w:marBottom w:val="0"/>
              <w:divBdr>
                <w:top w:val="none" w:sz="0" w:space="0" w:color="auto"/>
                <w:left w:val="none" w:sz="0" w:space="0" w:color="auto"/>
                <w:bottom w:val="none" w:sz="0" w:space="0" w:color="auto"/>
                <w:right w:val="none" w:sz="0" w:space="0" w:color="auto"/>
              </w:divBdr>
            </w:div>
            <w:div w:id="519660186">
              <w:marLeft w:val="0"/>
              <w:marRight w:val="0"/>
              <w:marTop w:val="0"/>
              <w:marBottom w:val="0"/>
              <w:divBdr>
                <w:top w:val="none" w:sz="0" w:space="0" w:color="auto"/>
                <w:left w:val="none" w:sz="0" w:space="0" w:color="auto"/>
                <w:bottom w:val="none" w:sz="0" w:space="0" w:color="auto"/>
                <w:right w:val="none" w:sz="0" w:space="0" w:color="auto"/>
              </w:divBdr>
            </w:div>
            <w:div w:id="1717923981">
              <w:marLeft w:val="0"/>
              <w:marRight w:val="0"/>
              <w:marTop w:val="0"/>
              <w:marBottom w:val="0"/>
              <w:divBdr>
                <w:top w:val="none" w:sz="0" w:space="0" w:color="auto"/>
                <w:left w:val="none" w:sz="0" w:space="0" w:color="auto"/>
                <w:bottom w:val="none" w:sz="0" w:space="0" w:color="auto"/>
                <w:right w:val="none" w:sz="0" w:space="0" w:color="auto"/>
              </w:divBdr>
            </w:div>
          </w:divsChild>
        </w:div>
        <w:div w:id="789862240">
          <w:marLeft w:val="0"/>
          <w:marRight w:val="0"/>
          <w:marTop w:val="0"/>
          <w:marBottom w:val="0"/>
          <w:divBdr>
            <w:top w:val="none" w:sz="0" w:space="0" w:color="auto"/>
            <w:left w:val="none" w:sz="0" w:space="0" w:color="auto"/>
            <w:bottom w:val="none" w:sz="0" w:space="0" w:color="auto"/>
            <w:right w:val="none" w:sz="0" w:space="0" w:color="auto"/>
          </w:divBdr>
        </w:div>
        <w:div w:id="1165046352">
          <w:marLeft w:val="0"/>
          <w:marRight w:val="0"/>
          <w:marTop w:val="0"/>
          <w:marBottom w:val="0"/>
          <w:divBdr>
            <w:top w:val="none" w:sz="0" w:space="0" w:color="auto"/>
            <w:left w:val="none" w:sz="0" w:space="0" w:color="auto"/>
            <w:bottom w:val="none" w:sz="0" w:space="0" w:color="auto"/>
            <w:right w:val="none" w:sz="0" w:space="0" w:color="auto"/>
          </w:divBdr>
          <w:divsChild>
            <w:div w:id="563688176">
              <w:marLeft w:val="0"/>
              <w:marRight w:val="0"/>
              <w:marTop w:val="0"/>
              <w:marBottom w:val="0"/>
              <w:divBdr>
                <w:top w:val="none" w:sz="0" w:space="0" w:color="auto"/>
                <w:left w:val="none" w:sz="0" w:space="0" w:color="auto"/>
                <w:bottom w:val="none" w:sz="0" w:space="0" w:color="auto"/>
                <w:right w:val="none" w:sz="0" w:space="0" w:color="auto"/>
              </w:divBdr>
            </w:div>
          </w:divsChild>
        </w:div>
        <w:div w:id="1269125173">
          <w:marLeft w:val="0"/>
          <w:marRight w:val="0"/>
          <w:marTop w:val="0"/>
          <w:marBottom w:val="0"/>
          <w:divBdr>
            <w:top w:val="none" w:sz="0" w:space="0" w:color="auto"/>
            <w:left w:val="none" w:sz="0" w:space="0" w:color="auto"/>
            <w:bottom w:val="none" w:sz="0" w:space="0" w:color="auto"/>
            <w:right w:val="none" w:sz="0" w:space="0" w:color="auto"/>
          </w:divBdr>
        </w:div>
        <w:div w:id="852836823">
          <w:marLeft w:val="0"/>
          <w:marRight w:val="0"/>
          <w:marTop w:val="0"/>
          <w:marBottom w:val="0"/>
          <w:divBdr>
            <w:top w:val="none" w:sz="0" w:space="0" w:color="auto"/>
            <w:left w:val="none" w:sz="0" w:space="0" w:color="auto"/>
            <w:bottom w:val="none" w:sz="0" w:space="0" w:color="auto"/>
            <w:right w:val="none" w:sz="0" w:space="0" w:color="auto"/>
          </w:divBdr>
          <w:divsChild>
            <w:div w:id="700205743">
              <w:marLeft w:val="0"/>
              <w:marRight w:val="0"/>
              <w:marTop w:val="0"/>
              <w:marBottom w:val="0"/>
              <w:divBdr>
                <w:top w:val="none" w:sz="0" w:space="0" w:color="auto"/>
                <w:left w:val="none" w:sz="0" w:space="0" w:color="auto"/>
                <w:bottom w:val="none" w:sz="0" w:space="0" w:color="auto"/>
                <w:right w:val="none" w:sz="0" w:space="0" w:color="auto"/>
              </w:divBdr>
            </w:div>
          </w:divsChild>
        </w:div>
        <w:div w:id="2100832114">
          <w:marLeft w:val="0"/>
          <w:marRight w:val="0"/>
          <w:marTop w:val="0"/>
          <w:marBottom w:val="0"/>
          <w:divBdr>
            <w:top w:val="none" w:sz="0" w:space="0" w:color="auto"/>
            <w:left w:val="none" w:sz="0" w:space="0" w:color="auto"/>
            <w:bottom w:val="none" w:sz="0" w:space="0" w:color="auto"/>
            <w:right w:val="none" w:sz="0" w:space="0" w:color="auto"/>
          </w:divBdr>
          <w:divsChild>
            <w:div w:id="1975595611">
              <w:marLeft w:val="0"/>
              <w:marRight w:val="0"/>
              <w:marTop w:val="0"/>
              <w:marBottom w:val="0"/>
              <w:divBdr>
                <w:top w:val="none" w:sz="0" w:space="0" w:color="auto"/>
                <w:left w:val="none" w:sz="0" w:space="0" w:color="auto"/>
                <w:bottom w:val="none" w:sz="0" w:space="0" w:color="auto"/>
                <w:right w:val="none" w:sz="0" w:space="0" w:color="auto"/>
              </w:divBdr>
            </w:div>
            <w:div w:id="1417363067">
              <w:marLeft w:val="0"/>
              <w:marRight w:val="0"/>
              <w:marTop w:val="0"/>
              <w:marBottom w:val="0"/>
              <w:divBdr>
                <w:top w:val="none" w:sz="0" w:space="0" w:color="auto"/>
                <w:left w:val="none" w:sz="0" w:space="0" w:color="auto"/>
                <w:bottom w:val="none" w:sz="0" w:space="0" w:color="auto"/>
                <w:right w:val="none" w:sz="0" w:space="0" w:color="auto"/>
              </w:divBdr>
            </w:div>
            <w:div w:id="454566077">
              <w:marLeft w:val="0"/>
              <w:marRight w:val="0"/>
              <w:marTop w:val="0"/>
              <w:marBottom w:val="0"/>
              <w:divBdr>
                <w:top w:val="none" w:sz="0" w:space="0" w:color="auto"/>
                <w:left w:val="none" w:sz="0" w:space="0" w:color="auto"/>
                <w:bottom w:val="none" w:sz="0" w:space="0" w:color="auto"/>
                <w:right w:val="none" w:sz="0" w:space="0" w:color="auto"/>
              </w:divBdr>
            </w:div>
          </w:divsChild>
        </w:div>
        <w:div w:id="1755128336">
          <w:marLeft w:val="0"/>
          <w:marRight w:val="0"/>
          <w:marTop w:val="0"/>
          <w:marBottom w:val="0"/>
          <w:divBdr>
            <w:top w:val="none" w:sz="0" w:space="0" w:color="auto"/>
            <w:left w:val="none" w:sz="0" w:space="0" w:color="auto"/>
            <w:bottom w:val="none" w:sz="0" w:space="0" w:color="auto"/>
            <w:right w:val="none" w:sz="0" w:space="0" w:color="auto"/>
          </w:divBdr>
          <w:divsChild>
            <w:div w:id="1649280900">
              <w:marLeft w:val="0"/>
              <w:marRight w:val="0"/>
              <w:marTop w:val="0"/>
              <w:marBottom w:val="0"/>
              <w:divBdr>
                <w:top w:val="none" w:sz="0" w:space="0" w:color="auto"/>
                <w:left w:val="none" w:sz="0" w:space="0" w:color="auto"/>
                <w:bottom w:val="none" w:sz="0" w:space="0" w:color="auto"/>
                <w:right w:val="none" w:sz="0" w:space="0" w:color="auto"/>
              </w:divBdr>
            </w:div>
          </w:divsChild>
        </w:div>
        <w:div w:id="1795711357">
          <w:marLeft w:val="0"/>
          <w:marRight w:val="0"/>
          <w:marTop w:val="0"/>
          <w:marBottom w:val="0"/>
          <w:divBdr>
            <w:top w:val="none" w:sz="0" w:space="0" w:color="auto"/>
            <w:left w:val="none" w:sz="0" w:space="0" w:color="auto"/>
            <w:bottom w:val="none" w:sz="0" w:space="0" w:color="auto"/>
            <w:right w:val="none" w:sz="0" w:space="0" w:color="auto"/>
          </w:divBdr>
          <w:divsChild>
            <w:div w:id="1342928368">
              <w:marLeft w:val="0"/>
              <w:marRight w:val="0"/>
              <w:marTop w:val="0"/>
              <w:marBottom w:val="0"/>
              <w:divBdr>
                <w:top w:val="none" w:sz="0" w:space="0" w:color="auto"/>
                <w:left w:val="none" w:sz="0" w:space="0" w:color="auto"/>
                <w:bottom w:val="none" w:sz="0" w:space="0" w:color="auto"/>
                <w:right w:val="none" w:sz="0" w:space="0" w:color="auto"/>
              </w:divBdr>
            </w:div>
            <w:div w:id="1837112548">
              <w:marLeft w:val="0"/>
              <w:marRight w:val="0"/>
              <w:marTop w:val="0"/>
              <w:marBottom w:val="0"/>
              <w:divBdr>
                <w:top w:val="none" w:sz="0" w:space="0" w:color="auto"/>
                <w:left w:val="none" w:sz="0" w:space="0" w:color="auto"/>
                <w:bottom w:val="none" w:sz="0" w:space="0" w:color="auto"/>
                <w:right w:val="none" w:sz="0" w:space="0" w:color="auto"/>
              </w:divBdr>
            </w:div>
            <w:div w:id="20345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6098">
      <w:bodyDiv w:val="1"/>
      <w:marLeft w:val="0"/>
      <w:marRight w:val="0"/>
      <w:marTop w:val="0"/>
      <w:marBottom w:val="0"/>
      <w:divBdr>
        <w:top w:val="none" w:sz="0" w:space="0" w:color="auto"/>
        <w:left w:val="none" w:sz="0" w:space="0" w:color="auto"/>
        <w:bottom w:val="none" w:sz="0" w:space="0" w:color="auto"/>
        <w:right w:val="none" w:sz="0" w:space="0" w:color="auto"/>
      </w:divBdr>
      <w:divsChild>
        <w:div w:id="1905601653">
          <w:marLeft w:val="0"/>
          <w:marRight w:val="0"/>
          <w:marTop w:val="0"/>
          <w:marBottom w:val="0"/>
          <w:divBdr>
            <w:top w:val="none" w:sz="0" w:space="0" w:color="auto"/>
            <w:left w:val="none" w:sz="0" w:space="0" w:color="auto"/>
            <w:bottom w:val="none" w:sz="0" w:space="0" w:color="auto"/>
            <w:right w:val="none" w:sz="0" w:space="0" w:color="auto"/>
          </w:divBdr>
        </w:div>
        <w:div w:id="1000810865">
          <w:marLeft w:val="0"/>
          <w:marRight w:val="0"/>
          <w:marTop w:val="0"/>
          <w:marBottom w:val="0"/>
          <w:divBdr>
            <w:top w:val="none" w:sz="0" w:space="0" w:color="auto"/>
            <w:left w:val="none" w:sz="0" w:space="0" w:color="auto"/>
            <w:bottom w:val="none" w:sz="0" w:space="0" w:color="auto"/>
            <w:right w:val="none" w:sz="0" w:space="0" w:color="auto"/>
          </w:divBdr>
          <w:divsChild>
            <w:div w:id="743532800">
              <w:marLeft w:val="0"/>
              <w:marRight w:val="0"/>
              <w:marTop w:val="0"/>
              <w:marBottom w:val="0"/>
              <w:divBdr>
                <w:top w:val="none" w:sz="0" w:space="0" w:color="auto"/>
                <w:left w:val="none" w:sz="0" w:space="0" w:color="auto"/>
                <w:bottom w:val="none" w:sz="0" w:space="0" w:color="auto"/>
                <w:right w:val="none" w:sz="0" w:space="0" w:color="auto"/>
              </w:divBdr>
            </w:div>
            <w:div w:id="1037895682">
              <w:marLeft w:val="0"/>
              <w:marRight w:val="0"/>
              <w:marTop w:val="0"/>
              <w:marBottom w:val="0"/>
              <w:divBdr>
                <w:top w:val="none" w:sz="0" w:space="0" w:color="auto"/>
                <w:left w:val="none" w:sz="0" w:space="0" w:color="auto"/>
                <w:bottom w:val="none" w:sz="0" w:space="0" w:color="auto"/>
                <w:right w:val="none" w:sz="0" w:space="0" w:color="auto"/>
              </w:divBdr>
            </w:div>
          </w:divsChild>
        </w:div>
        <w:div w:id="1232037543">
          <w:marLeft w:val="0"/>
          <w:marRight w:val="0"/>
          <w:marTop w:val="0"/>
          <w:marBottom w:val="0"/>
          <w:divBdr>
            <w:top w:val="none" w:sz="0" w:space="0" w:color="auto"/>
            <w:left w:val="none" w:sz="0" w:space="0" w:color="auto"/>
            <w:bottom w:val="none" w:sz="0" w:space="0" w:color="auto"/>
            <w:right w:val="none" w:sz="0" w:space="0" w:color="auto"/>
          </w:divBdr>
          <w:divsChild>
            <w:div w:id="1592659378">
              <w:marLeft w:val="0"/>
              <w:marRight w:val="0"/>
              <w:marTop w:val="0"/>
              <w:marBottom w:val="0"/>
              <w:divBdr>
                <w:top w:val="none" w:sz="0" w:space="0" w:color="auto"/>
                <w:left w:val="none" w:sz="0" w:space="0" w:color="auto"/>
                <w:bottom w:val="none" w:sz="0" w:space="0" w:color="auto"/>
                <w:right w:val="none" w:sz="0" w:space="0" w:color="auto"/>
              </w:divBdr>
            </w:div>
            <w:div w:id="1641762230">
              <w:marLeft w:val="0"/>
              <w:marRight w:val="0"/>
              <w:marTop w:val="0"/>
              <w:marBottom w:val="0"/>
              <w:divBdr>
                <w:top w:val="none" w:sz="0" w:space="0" w:color="auto"/>
                <w:left w:val="none" w:sz="0" w:space="0" w:color="auto"/>
                <w:bottom w:val="none" w:sz="0" w:space="0" w:color="auto"/>
                <w:right w:val="none" w:sz="0" w:space="0" w:color="auto"/>
              </w:divBdr>
            </w:div>
            <w:div w:id="1899827533">
              <w:marLeft w:val="0"/>
              <w:marRight w:val="0"/>
              <w:marTop w:val="0"/>
              <w:marBottom w:val="0"/>
              <w:divBdr>
                <w:top w:val="none" w:sz="0" w:space="0" w:color="auto"/>
                <w:left w:val="none" w:sz="0" w:space="0" w:color="auto"/>
                <w:bottom w:val="none" w:sz="0" w:space="0" w:color="auto"/>
                <w:right w:val="none" w:sz="0" w:space="0" w:color="auto"/>
              </w:divBdr>
            </w:div>
          </w:divsChild>
        </w:div>
        <w:div w:id="764805712">
          <w:marLeft w:val="0"/>
          <w:marRight w:val="0"/>
          <w:marTop w:val="0"/>
          <w:marBottom w:val="0"/>
          <w:divBdr>
            <w:top w:val="none" w:sz="0" w:space="0" w:color="auto"/>
            <w:left w:val="none" w:sz="0" w:space="0" w:color="auto"/>
            <w:bottom w:val="none" w:sz="0" w:space="0" w:color="auto"/>
            <w:right w:val="none" w:sz="0" w:space="0" w:color="auto"/>
          </w:divBdr>
        </w:div>
        <w:div w:id="1100292060">
          <w:marLeft w:val="0"/>
          <w:marRight w:val="0"/>
          <w:marTop w:val="0"/>
          <w:marBottom w:val="0"/>
          <w:divBdr>
            <w:top w:val="none" w:sz="0" w:space="0" w:color="auto"/>
            <w:left w:val="none" w:sz="0" w:space="0" w:color="auto"/>
            <w:bottom w:val="none" w:sz="0" w:space="0" w:color="auto"/>
            <w:right w:val="none" w:sz="0" w:space="0" w:color="auto"/>
          </w:divBdr>
          <w:divsChild>
            <w:div w:id="970137926">
              <w:marLeft w:val="0"/>
              <w:marRight w:val="0"/>
              <w:marTop w:val="0"/>
              <w:marBottom w:val="0"/>
              <w:divBdr>
                <w:top w:val="none" w:sz="0" w:space="0" w:color="auto"/>
                <w:left w:val="none" w:sz="0" w:space="0" w:color="auto"/>
                <w:bottom w:val="none" w:sz="0" w:space="0" w:color="auto"/>
                <w:right w:val="none" w:sz="0" w:space="0" w:color="auto"/>
              </w:divBdr>
            </w:div>
            <w:div w:id="87891099">
              <w:marLeft w:val="0"/>
              <w:marRight w:val="0"/>
              <w:marTop w:val="0"/>
              <w:marBottom w:val="0"/>
              <w:divBdr>
                <w:top w:val="none" w:sz="0" w:space="0" w:color="auto"/>
                <w:left w:val="none" w:sz="0" w:space="0" w:color="auto"/>
                <w:bottom w:val="none" w:sz="0" w:space="0" w:color="auto"/>
                <w:right w:val="none" w:sz="0" w:space="0" w:color="auto"/>
              </w:divBdr>
            </w:div>
            <w:div w:id="992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9963">
      <w:bodyDiv w:val="1"/>
      <w:marLeft w:val="0"/>
      <w:marRight w:val="0"/>
      <w:marTop w:val="0"/>
      <w:marBottom w:val="0"/>
      <w:divBdr>
        <w:top w:val="none" w:sz="0" w:space="0" w:color="auto"/>
        <w:left w:val="none" w:sz="0" w:space="0" w:color="auto"/>
        <w:bottom w:val="none" w:sz="0" w:space="0" w:color="auto"/>
        <w:right w:val="none" w:sz="0" w:space="0" w:color="auto"/>
      </w:divBdr>
      <w:divsChild>
        <w:div w:id="277641081">
          <w:marLeft w:val="0"/>
          <w:marRight w:val="0"/>
          <w:marTop w:val="0"/>
          <w:marBottom w:val="0"/>
          <w:divBdr>
            <w:top w:val="none" w:sz="0" w:space="0" w:color="auto"/>
            <w:left w:val="none" w:sz="0" w:space="0" w:color="auto"/>
            <w:bottom w:val="none" w:sz="0" w:space="0" w:color="auto"/>
            <w:right w:val="none" w:sz="0" w:space="0" w:color="auto"/>
          </w:divBdr>
        </w:div>
        <w:div w:id="1152596980">
          <w:marLeft w:val="0"/>
          <w:marRight w:val="0"/>
          <w:marTop w:val="0"/>
          <w:marBottom w:val="0"/>
          <w:divBdr>
            <w:top w:val="none" w:sz="0" w:space="0" w:color="auto"/>
            <w:left w:val="none" w:sz="0" w:space="0" w:color="auto"/>
            <w:bottom w:val="none" w:sz="0" w:space="0" w:color="auto"/>
            <w:right w:val="none" w:sz="0" w:space="0" w:color="auto"/>
          </w:divBdr>
          <w:divsChild>
            <w:div w:id="225193088">
              <w:marLeft w:val="0"/>
              <w:marRight w:val="0"/>
              <w:marTop w:val="0"/>
              <w:marBottom w:val="0"/>
              <w:divBdr>
                <w:top w:val="none" w:sz="0" w:space="0" w:color="auto"/>
                <w:left w:val="none" w:sz="0" w:space="0" w:color="auto"/>
                <w:bottom w:val="none" w:sz="0" w:space="0" w:color="auto"/>
                <w:right w:val="none" w:sz="0" w:space="0" w:color="auto"/>
              </w:divBdr>
            </w:div>
          </w:divsChild>
        </w:div>
        <w:div w:id="1462728257">
          <w:marLeft w:val="0"/>
          <w:marRight w:val="0"/>
          <w:marTop w:val="0"/>
          <w:marBottom w:val="0"/>
          <w:divBdr>
            <w:top w:val="none" w:sz="0" w:space="0" w:color="auto"/>
            <w:left w:val="none" w:sz="0" w:space="0" w:color="auto"/>
            <w:bottom w:val="none" w:sz="0" w:space="0" w:color="auto"/>
            <w:right w:val="none" w:sz="0" w:space="0" w:color="auto"/>
          </w:divBdr>
          <w:divsChild>
            <w:div w:id="667055750">
              <w:marLeft w:val="0"/>
              <w:marRight w:val="0"/>
              <w:marTop w:val="0"/>
              <w:marBottom w:val="0"/>
              <w:divBdr>
                <w:top w:val="none" w:sz="0" w:space="0" w:color="auto"/>
                <w:left w:val="none" w:sz="0" w:space="0" w:color="auto"/>
                <w:bottom w:val="none" w:sz="0" w:space="0" w:color="auto"/>
                <w:right w:val="none" w:sz="0" w:space="0" w:color="auto"/>
              </w:divBdr>
            </w:div>
            <w:div w:id="348725178">
              <w:marLeft w:val="0"/>
              <w:marRight w:val="0"/>
              <w:marTop w:val="0"/>
              <w:marBottom w:val="0"/>
              <w:divBdr>
                <w:top w:val="none" w:sz="0" w:space="0" w:color="auto"/>
                <w:left w:val="none" w:sz="0" w:space="0" w:color="auto"/>
                <w:bottom w:val="none" w:sz="0" w:space="0" w:color="auto"/>
                <w:right w:val="none" w:sz="0" w:space="0" w:color="auto"/>
              </w:divBdr>
            </w:div>
            <w:div w:id="1083144975">
              <w:marLeft w:val="0"/>
              <w:marRight w:val="0"/>
              <w:marTop w:val="0"/>
              <w:marBottom w:val="0"/>
              <w:divBdr>
                <w:top w:val="none" w:sz="0" w:space="0" w:color="auto"/>
                <w:left w:val="none" w:sz="0" w:space="0" w:color="auto"/>
                <w:bottom w:val="none" w:sz="0" w:space="0" w:color="auto"/>
                <w:right w:val="none" w:sz="0" w:space="0" w:color="auto"/>
              </w:divBdr>
            </w:div>
            <w:div w:id="183327437">
              <w:marLeft w:val="0"/>
              <w:marRight w:val="0"/>
              <w:marTop w:val="0"/>
              <w:marBottom w:val="0"/>
              <w:divBdr>
                <w:top w:val="none" w:sz="0" w:space="0" w:color="auto"/>
                <w:left w:val="none" w:sz="0" w:space="0" w:color="auto"/>
                <w:bottom w:val="none" w:sz="0" w:space="0" w:color="auto"/>
                <w:right w:val="none" w:sz="0" w:space="0" w:color="auto"/>
              </w:divBdr>
            </w:div>
            <w:div w:id="2140611263">
              <w:marLeft w:val="0"/>
              <w:marRight w:val="0"/>
              <w:marTop w:val="0"/>
              <w:marBottom w:val="0"/>
              <w:divBdr>
                <w:top w:val="none" w:sz="0" w:space="0" w:color="auto"/>
                <w:left w:val="none" w:sz="0" w:space="0" w:color="auto"/>
                <w:bottom w:val="none" w:sz="0" w:space="0" w:color="auto"/>
                <w:right w:val="none" w:sz="0" w:space="0" w:color="auto"/>
              </w:divBdr>
            </w:div>
            <w:div w:id="3480611">
              <w:marLeft w:val="0"/>
              <w:marRight w:val="0"/>
              <w:marTop w:val="0"/>
              <w:marBottom w:val="0"/>
              <w:divBdr>
                <w:top w:val="none" w:sz="0" w:space="0" w:color="auto"/>
                <w:left w:val="none" w:sz="0" w:space="0" w:color="auto"/>
                <w:bottom w:val="none" w:sz="0" w:space="0" w:color="auto"/>
                <w:right w:val="none" w:sz="0" w:space="0" w:color="auto"/>
              </w:divBdr>
            </w:div>
            <w:div w:id="1974093282">
              <w:marLeft w:val="0"/>
              <w:marRight w:val="0"/>
              <w:marTop w:val="0"/>
              <w:marBottom w:val="0"/>
              <w:divBdr>
                <w:top w:val="none" w:sz="0" w:space="0" w:color="auto"/>
                <w:left w:val="none" w:sz="0" w:space="0" w:color="auto"/>
                <w:bottom w:val="none" w:sz="0" w:space="0" w:color="auto"/>
                <w:right w:val="none" w:sz="0" w:space="0" w:color="auto"/>
              </w:divBdr>
            </w:div>
            <w:div w:id="2033844581">
              <w:marLeft w:val="0"/>
              <w:marRight w:val="0"/>
              <w:marTop w:val="0"/>
              <w:marBottom w:val="0"/>
              <w:divBdr>
                <w:top w:val="none" w:sz="0" w:space="0" w:color="auto"/>
                <w:left w:val="none" w:sz="0" w:space="0" w:color="auto"/>
                <w:bottom w:val="none" w:sz="0" w:space="0" w:color="auto"/>
                <w:right w:val="none" w:sz="0" w:space="0" w:color="auto"/>
              </w:divBdr>
            </w:div>
            <w:div w:id="100419675">
              <w:marLeft w:val="0"/>
              <w:marRight w:val="0"/>
              <w:marTop w:val="0"/>
              <w:marBottom w:val="0"/>
              <w:divBdr>
                <w:top w:val="none" w:sz="0" w:space="0" w:color="auto"/>
                <w:left w:val="none" w:sz="0" w:space="0" w:color="auto"/>
                <w:bottom w:val="none" w:sz="0" w:space="0" w:color="auto"/>
                <w:right w:val="none" w:sz="0" w:space="0" w:color="auto"/>
              </w:divBdr>
            </w:div>
            <w:div w:id="1673220794">
              <w:marLeft w:val="0"/>
              <w:marRight w:val="0"/>
              <w:marTop w:val="0"/>
              <w:marBottom w:val="0"/>
              <w:divBdr>
                <w:top w:val="none" w:sz="0" w:space="0" w:color="auto"/>
                <w:left w:val="none" w:sz="0" w:space="0" w:color="auto"/>
                <w:bottom w:val="none" w:sz="0" w:space="0" w:color="auto"/>
                <w:right w:val="none" w:sz="0" w:space="0" w:color="auto"/>
              </w:divBdr>
            </w:div>
          </w:divsChild>
        </w:div>
        <w:div w:id="1266383405">
          <w:marLeft w:val="0"/>
          <w:marRight w:val="0"/>
          <w:marTop w:val="0"/>
          <w:marBottom w:val="0"/>
          <w:divBdr>
            <w:top w:val="none" w:sz="0" w:space="0" w:color="auto"/>
            <w:left w:val="none" w:sz="0" w:space="0" w:color="auto"/>
            <w:bottom w:val="none" w:sz="0" w:space="0" w:color="auto"/>
            <w:right w:val="none" w:sz="0" w:space="0" w:color="auto"/>
          </w:divBdr>
        </w:div>
        <w:div w:id="937249822">
          <w:marLeft w:val="0"/>
          <w:marRight w:val="0"/>
          <w:marTop w:val="0"/>
          <w:marBottom w:val="0"/>
          <w:divBdr>
            <w:top w:val="none" w:sz="0" w:space="0" w:color="auto"/>
            <w:left w:val="none" w:sz="0" w:space="0" w:color="auto"/>
            <w:bottom w:val="none" w:sz="0" w:space="0" w:color="auto"/>
            <w:right w:val="none" w:sz="0" w:space="0" w:color="auto"/>
          </w:divBdr>
          <w:divsChild>
            <w:div w:id="1088235597">
              <w:marLeft w:val="0"/>
              <w:marRight w:val="0"/>
              <w:marTop w:val="0"/>
              <w:marBottom w:val="0"/>
              <w:divBdr>
                <w:top w:val="none" w:sz="0" w:space="0" w:color="auto"/>
                <w:left w:val="none" w:sz="0" w:space="0" w:color="auto"/>
                <w:bottom w:val="none" w:sz="0" w:space="0" w:color="auto"/>
                <w:right w:val="none" w:sz="0" w:space="0" w:color="auto"/>
              </w:divBdr>
            </w:div>
            <w:div w:id="936324580">
              <w:marLeft w:val="0"/>
              <w:marRight w:val="0"/>
              <w:marTop w:val="0"/>
              <w:marBottom w:val="0"/>
              <w:divBdr>
                <w:top w:val="none" w:sz="0" w:space="0" w:color="auto"/>
                <w:left w:val="none" w:sz="0" w:space="0" w:color="auto"/>
                <w:bottom w:val="none" w:sz="0" w:space="0" w:color="auto"/>
                <w:right w:val="none" w:sz="0" w:space="0" w:color="auto"/>
              </w:divBdr>
            </w:div>
            <w:div w:id="470488313">
              <w:marLeft w:val="0"/>
              <w:marRight w:val="0"/>
              <w:marTop w:val="0"/>
              <w:marBottom w:val="0"/>
              <w:divBdr>
                <w:top w:val="none" w:sz="0" w:space="0" w:color="auto"/>
                <w:left w:val="none" w:sz="0" w:space="0" w:color="auto"/>
                <w:bottom w:val="none" w:sz="0" w:space="0" w:color="auto"/>
                <w:right w:val="none" w:sz="0" w:space="0" w:color="auto"/>
              </w:divBdr>
            </w:div>
            <w:div w:id="323514874">
              <w:marLeft w:val="0"/>
              <w:marRight w:val="0"/>
              <w:marTop w:val="0"/>
              <w:marBottom w:val="0"/>
              <w:divBdr>
                <w:top w:val="none" w:sz="0" w:space="0" w:color="auto"/>
                <w:left w:val="none" w:sz="0" w:space="0" w:color="auto"/>
                <w:bottom w:val="none" w:sz="0" w:space="0" w:color="auto"/>
                <w:right w:val="none" w:sz="0" w:space="0" w:color="auto"/>
              </w:divBdr>
            </w:div>
            <w:div w:id="569853188">
              <w:marLeft w:val="0"/>
              <w:marRight w:val="0"/>
              <w:marTop w:val="0"/>
              <w:marBottom w:val="0"/>
              <w:divBdr>
                <w:top w:val="none" w:sz="0" w:space="0" w:color="auto"/>
                <w:left w:val="none" w:sz="0" w:space="0" w:color="auto"/>
                <w:bottom w:val="none" w:sz="0" w:space="0" w:color="auto"/>
                <w:right w:val="none" w:sz="0" w:space="0" w:color="auto"/>
              </w:divBdr>
            </w:div>
          </w:divsChild>
        </w:div>
        <w:div w:id="700546673">
          <w:marLeft w:val="0"/>
          <w:marRight w:val="0"/>
          <w:marTop w:val="0"/>
          <w:marBottom w:val="0"/>
          <w:divBdr>
            <w:top w:val="none" w:sz="0" w:space="0" w:color="auto"/>
            <w:left w:val="none" w:sz="0" w:space="0" w:color="auto"/>
            <w:bottom w:val="none" w:sz="0" w:space="0" w:color="auto"/>
            <w:right w:val="none" w:sz="0" w:space="0" w:color="auto"/>
          </w:divBdr>
          <w:divsChild>
            <w:div w:id="1547569194">
              <w:marLeft w:val="0"/>
              <w:marRight w:val="0"/>
              <w:marTop w:val="0"/>
              <w:marBottom w:val="0"/>
              <w:divBdr>
                <w:top w:val="none" w:sz="0" w:space="0" w:color="auto"/>
                <w:left w:val="none" w:sz="0" w:space="0" w:color="auto"/>
                <w:bottom w:val="none" w:sz="0" w:space="0" w:color="auto"/>
                <w:right w:val="none" w:sz="0" w:space="0" w:color="auto"/>
              </w:divBdr>
            </w:div>
            <w:div w:id="867064993">
              <w:marLeft w:val="0"/>
              <w:marRight w:val="0"/>
              <w:marTop w:val="0"/>
              <w:marBottom w:val="0"/>
              <w:divBdr>
                <w:top w:val="none" w:sz="0" w:space="0" w:color="auto"/>
                <w:left w:val="none" w:sz="0" w:space="0" w:color="auto"/>
                <w:bottom w:val="none" w:sz="0" w:space="0" w:color="auto"/>
                <w:right w:val="none" w:sz="0" w:space="0" w:color="auto"/>
              </w:divBdr>
            </w:div>
            <w:div w:id="1034499488">
              <w:marLeft w:val="0"/>
              <w:marRight w:val="0"/>
              <w:marTop w:val="0"/>
              <w:marBottom w:val="0"/>
              <w:divBdr>
                <w:top w:val="none" w:sz="0" w:space="0" w:color="auto"/>
                <w:left w:val="none" w:sz="0" w:space="0" w:color="auto"/>
                <w:bottom w:val="none" w:sz="0" w:space="0" w:color="auto"/>
                <w:right w:val="none" w:sz="0" w:space="0" w:color="auto"/>
              </w:divBdr>
            </w:div>
            <w:div w:id="1650748369">
              <w:marLeft w:val="0"/>
              <w:marRight w:val="0"/>
              <w:marTop w:val="0"/>
              <w:marBottom w:val="0"/>
              <w:divBdr>
                <w:top w:val="none" w:sz="0" w:space="0" w:color="auto"/>
                <w:left w:val="none" w:sz="0" w:space="0" w:color="auto"/>
                <w:bottom w:val="none" w:sz="0" w:space="0" w:color="auto"/>
                <w:right w:val="none" w:sz="0" w:space="0" w:color="auto"/>
              </w:divBdr>
            </w:div>
            <w:div w:id="1224025238">
              <w:marLeft w:val="0"/>
              <w:marRight w:val="0"/>
              <w:marTop w:val="0"/>
              <w:marBottom w:val="0"/>
              <w:divBdr>
                <w:top w:val="none" w:sz="0" w:space="0" w:color="auto"/>
                <w:left w:val="none" w:sz="0" w:space="0" w:color="auto"/>
                <w:bottom w:val="none" w:sz="0" w:space="0" w:color="auto"/>
                <w:right w:val="none" w:sz="0" w:space="0" w:color="auto"/>
              </w:divBdr>
            </w:div>
            <w:div w:id="548147180">
              <w:marLeft w:val="0"/>
              <w:marRight w:val="0"/>
              <w:marTop w:val="0"/>
              <w:marBottom w:val="0"/>
              <w:divBdr>
                <w:top w:val="none" w:sz="0" w:space="0" w:color="auto"/>
                <w:left w:val="none" w:sz="0" w:space="0" w:color="auto"/>
                <w:bottom w:val="none" w:sz="0" w:space="0" w:color="auto"/>
                <w:right w:val="none" w:sz="0" w:space="0" w:color="auto"/>
              </w:divBdr>
            </w:div>
            <w:div w:id="12840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9143">
      <w:bodyDiv w:val="1"/>
      <w:marLeft w:val="0"/>
      <w:marRight w:val="0"/>
      <w:marTop w:val="0"/>
      <w:marBottom w:val="0"/>
      <w:divBdr>
        <w:top w:val="none" w:sz="0" w:space="0" w:color="auto"/>
        <w:left w:val="none" w:sz="0" w:space="0" w:color="auto"/>
        <w:bottom w:val="none" w:sz="0" w:space="0" w:color="auto"/>
        <w:right w:val="none" w:sz="0" w:space="0" w:color="auto"/>
      </w:divBdr>
      <w:divsChild>
        <w:div w:id="2058892069">
          <w:marLeft w:val="0"/>
          <w:marRight w:val="0"/>
          <w:marTop w:val="0"/>
          <w:marBottom w:val="0"/>
          <w:divBdr>
            <w:top w:val="none" w:sz="0" w:space="0" w:color="auto"/>
            <w:left w:val="none" w:sz="0" w:space="0" w:color="auto"/>
            <w:bottom w:val="none" w:sz="0" w:space="0" w:color="auto"/>
            <w:right w:val="none" w:sz="0" w:space="0" w:color="auto"/>
          </w:divBdr>
        </w:div>
        <w:div w:id="741562339">
          <w:marLeft w:val="0"/>
          <w:marRight w:val="0"/>
          <w:marTop w:val="0"/>
          <w:marBottom w:val="0"/>
          <w:divBdr>
            <w:top w:val="none" w:sz="0" w:space="0" w:color="auto"/>
            <w:left w:val="none" w:sz="0" w:space="0" w:color="auto"/>
            <w:bottom w:val="none" w:sz="0" w:space="0" w:color="auto"/>
            <w:right w:val="none" w:sz="0" w:space="0" w:color="auto"/>
          </w:divBdr>
        </w:div>
        <w:div w:id="1398625692">
          <w:marLeft w:val="0"/>
          <w:marRight w:val="0"/>
          <w:marTop w:val="0"/>
          <w:marBottom w:val="0"/>
          <w:divBdr>
            <w:top w:val="none" w:sz="0" w:space="0" w:color="auto"/>
            <w:left w:val="none" w:sz="0" w:space="0" w:color="auto"/>
            <w:bottom w:val="none" w:sz="0" w:space="0" w:color="auto"/>
            <w:right w:val="none" w:sz="0" w:space="0" w:color="auto"/>
          </w:divBdr>
          <w:divsChild>
            <w:div w:id="1395928353">
              <w:marLeft w:val="0"/>
              <w:marRight w:val="0"/>
              <w:marTop w:val="0"/>
              <w:marBottom w:val="0"/>
              <w:divBdr>
                <w:top w:val="none" w:sz="0" w:space="0" w:color="auto"/>
                <w:left w:val="none" w:sz="0" w:space="0" w:color="auto"/>
                <w:bottom w:val="none" w:sz="0" w:space="0" w:color="auto"/>
                <w:right w:val="none" w:sz="0" w:space="0" w:color="auto"/>
              </w:divBdr>
            </w:div>
            <w:div w:id="1470129975">
              <w:marLeft w:val="0"/>
              <w:marRight w:val="0"/>
              <w:marTop w:val="0"/>
              <w:marBottom w:val="0"/>
              <w:divBdr>
                <w:top w:val="none" w:sz="0" w:space="0" w:color="auto"/>
                <w:left w:val="none" w:sz="0" w:space="0" w:color="auto"/>
                <w:bottom w:val="none" w:sz="0" w:space="0" w:color="auto"/>
                <w:right w:val="none" w:sz="0" w:space="0" w:color="auto"/>
              </w:divBdr>
            </w:div>
            <w:div w:id="1501239354">
              <w:marLeft w:val="0"/>
              <w:marRight w:val="0"/>
              <w:marTop w:val="0"/>
              <w:marBottom w:val="0"/>
              <w:divBdr>
                <w:top w:val="none" w:sz="0" w:space="0" w:color="auto"/>
                <w:left w:val="none" w:sz="0" w:space="0" w:color="auto"/>
                <w:bottom w:val="none" w:sz="0" w:space="0" w:color="auto"/>
                <w:right w:val="none" w:sz="0" w:space="0" w:color="auto"/>
              </w:divBdr>
            </w:div>
            <w:div w:id="2111004417">
              <w:marLeft w:val="0"/>
              <w:marRight w:val="0"/>
              <w:marTop w:val="0"/>
              <w:marBottom w:val="0"/>
              <w:divBdr>
                <w:top w:val="none" w:sz="0" w:space="0" w:color="auto"/>
                <w:left w:val="none" w:sz="0" w:space="0" w:color="auto"/>
                <w:bottom w:val="none" w:sz="0" w:space="0" w:color="auto"/>
                <w:right w:val="none" w:sz="0" w:space="0" w:color="auto"/>
              </w:divBdr>
            </w:div>
            <w:div w:id="1279289601">
              <w:marLeft w:val="0"/>
              <w:marRight w:val="0"/>
              <w:marTop w:val="0"/>
              <w:marBottom w:val="0"/>
              <w:divBdr>
                <w:top w:val="none" w:sz="0" w:space="0" w:color="auto"/>
                <w:left w:val="none" w:sz="0" w:space="0" w:color="auto"/>
                <w:bottom w:val="none" w:sz="0" w:space="0" w:color="auto"/>
                <w:right w:val="none" w:sz="0" w:space="0" w:color="auto"/>
              </w:divBdr>
            </w:div>
            <w:div w:id="2081638214">
              <w:marLeft w:val="0"/>
              <w:marRight w:val="0"/>
              <w:marTop w:val="0"/>
              <w:marBottom w:val="0"/>
              <w:divBdr>
                <w:top w:val="none" w:sz="0" w:space="0" w:color="auto"/>
                <w:left w:val="none" w:sz="0" w:space="0" w:color="auto"/>
                <w:bottom w:val="none" w:sz="0" w:space="0" w:color="auto"/>
                <w:right w:val="none" w:sz="0" w:space="0" w:color="auto"/>
              </w:divBdr>
            </w:div>
            <w:div w:id="1675452470">
              <w:marLeft w:val="0"/>
              <w:marRight w:val="0"/>
              <w:marTop w:val="0"/>
              <w:marBottom w:val="0"/>
              <w:divBdr>
                <w:top w:val="none" w:sz="0" w:space="0" w:color="auto"/>
                <w:left w:val="none" w:sz="0" w:space="0" w:color="auto"/>
                <w:bottom w:val="none" w:sz="0" w:space="0" w:color="auto"/>
                <w:right w:val="none" w:sz="0" w:space="0" w:color="auto"/>
              </w:divBdr>
            </w:div>
            <w:div w:id="513541203">
              <w:marLeft w:val="0"/>
              <w:marRight w:val="0"/>
              <w:marTop w:val="0"/>
              <w:marBottom w:val="0"/>
              <w:divBdr>
                <w:top w:val="none" w:sz="0" w:space="0" w:color="auto"/>
                <w:left w:val="none" w:sz="0" w:space="0" w:color="auto"/>
                <w:bottom w:val="none" w:sz="0" w:space="0" w:color="auto"/>
                <w:right w:val="none" w:sz="0" w:space="0" w:color="auto"/>
              </w:divBdr>
            </w:div>
            <w:div w:id="1772698951">
              <w:marLeft w:val="0"/>
              <w:marRight w:val="0"/>
              <w:marTop w:val="0"/>
              <w:marBottom w:val="0"/>
              <w:divBdr>
                <w:top w:val="none" w:sz="0" w:space="0" w:color="auto"/>
                <w:left w:val="none" w:sz="0" w:space="0" w:color="auto"/>
                <w:bottom w:val="none" w:sz="0" w:space="0" w:color="auto"/>
                <w:right w:val="none" w:sz="0" w:space="0" w:color="auto"/>
              </w:divBdr>
            </w:div>
            <w:div w:id="1803301183">
              <w:marLeft w:val="0"/>
              <w:marRight w:val="0"/>
              <w:marTop w:val="0"/>
              <w:marBottom w:val="0"/>
              <w:divBdr>
                <w:top w:val="none" w:sz="0" w:space="0" w:color="auto"/>
                <w:left w:val="none" w:sz="0" w:space="0" w:color="auto"/>
                <w:bottom w:val="none" w:sz="0" w:space="0" w:color="auto"/>
                <w:right w:val="none" w:sz="0" w:space="0" w:color="auto"/>
              </w:divBdr>
            </w:div>
            <w:div w:id="12982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voce.info/archives/61449/dove-finiscono-i-miliardi-delle-multinazionali/"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irigentisenior.it/aldai/eventi/perche-si-pagano-le-tasse.html" TargetMode="External"/><Relationship Id="rId17" Type="http://schemas.openxmlformats.org/officeDocument/2006/relationships/hyperlink" Target="https://dirigentindustria.it/mario-cardon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ttps:/dirigentisenior.it/pensioni/in-difesa-dei-diritti-e-della-dignita-dei-pensionati.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dirigentisenior.it/pensioni/questa-volta-non-si-tratta-di-contributo-di-solidarieta.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5765B-F7B8-4B66-8ECD-D70D2674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4273</Words>
  <Characters>24358</Characters>
  <Application>Microsoft Office Word</Application>
  <DocSecurity>0</DocSecurity>
  <Lines>202</Lines>
  <Paragraphs>57</Paragraphs>
  <ScaleCrop>false</ScaleCrop>
  <Company/>
  <LinksUpToDate>false</LinksUpToDate>
  <CharactersWithSpaces>28574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MarioT</dc:creator>
  <cp:keywords/>
  <dc:description/>
  <cp:lastModifiedBy>MarioT</cp:lastModifiedBy>
  <cp:revision>4</cp:revision>
  <dcterms:created xsi:type="dcterms:W3CDTF">2019-12-04T13:20:00Z</dcterms:created>
  <dcterms:modified xsi:type="dcterms:W3CDTF">2019-12-09T14:25:00Z</dcterms:modified>
</cp:coreProperties>
</file>